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A5D64" w14:textId="77777777" w:rsidR="000654CE" w:rsidRDefault="00000000">
      <w:pPr>
        <w:tabs>
          <w:tab w:val="left" w:pos="9163"/>
        </w:tabs>
        <w:spacing w:before="120" w:after="120" w:line="276" w:lineRule="auto"/>
        <w:ind w:left="990" w:right="1701"/>
        <w:jc w:val="right"/>
        <w:rPr>
          <w:rFonts w:ascii="Trebuchet MS" w:hAnsi="Trebuchet MS"/>
          <w:sz w:val="22"/>
          <w:szCs w:val="22"/>
        </w:rPr>
      </w:pPr>
      <w:r>
        <w:rPr>
          <w:rFonts w:ascii="Trebuchet MS" w:hAnsi="Trebuchet MS"/>
          <w:sz w:val="22"/>
          <w:szCs w:val="22"/>
        </w:rPr>
        <w:t xml:space="preserve"> </w:t>
      </w:r>
    </w:p>
    <w:p w14:paraId="404D90A2" w14:textId="77777777" w:rsidR="000654CE" w:rsidRDefault="00000000">
      <w:pPr>
        <w:spacing w:after="120" w:line="276" w:lineRule="auto"/>
        <w:ind w:left="990"/>
        <w:rPr>
          <w:rFonts w:ascii="Trebuchet MS" w:eastAsia="MS Mincho" w:hAnsi="Trebuchet MS" w:cs="Times New Roman"/>
          <w:b/>
          <w:i/>
          <w:sz w:val="22"/>
          <w:szCs w:val="22"/>
        </w:rPr>
      </w:pPr>
      <w:r>
        <w:rPr>
          <w:rFonts w:ascii="Trebuchet MS" w:eastAsia="MS Mincho" w:hAnsi="Trebuchet MS" w:cs="Times New Roman"/>
          <w:b/>
          <w:i/>
          <w:sz w:val="22"/>
          <w:szCs w:val="22"/>
        </w:rPr>
        <w:t xml:space="preserve">                                            </w:t>
      </w:r>
    </w:p>
    <w:p w14:paraId="7AB25F61" w14:textId="77777777" w:rsidR="000654CE" w:rsidRDefault="000654CE">
      <w:pPr>
        <w:spacing w:after="120" w:line="276" w:lineRule="auto"/>
        <w:ind w:left="990"/>
        <w:rPr>
          <w:rFonts w:ascii="Trebuchet MS" w:eastAsia="MS Mincho" w:hAnsi="Trebuchet MS" w:cs="Times New Roman"/>
          <w:b/>
          <w:i/>
          <w:sz w:val="22"/>
          <w:szCs w:val="22"/>
        </w:rPr>
      </w:pPr>
    </w:p>
    <w:p w14:paraId="280205D9" w14:textId="77777777" w:rsidR="000654CE" w:rsidRDefault="00000000">
      <w:pPr>
        <w:spacing w:after="120" w:line="276" w:lineRule="auto"/>
        <w:ind w:left="990"/>
        <w:jc w:val="center"/>
        <w:rPr>
          <w:rFonts w:ascii="Trebuchet MS" w:eastAsia="MS Mincho" w:hAnsi="Trebuchet MS" w:cs="Times New Roman"/>
          <w:b/>
          <w:i/>
          <w:sz w:val="22"/>
          <w:szCs w:val="22"/>
        </w:rPr>
      </w:pPr>
      <w:r>
        <w:rPr>
          <w:rFonts w:ascii="Trebuchet MS" w:eastAsia="MS Mincho" w:hAnsi="Trebuchet MS" w:cs="Times New Roman"/>
          <w:b/>
          <w:i/>
          <w:sz w:val="22"/>
          <w:szCs w:val="22"/>
        </w:rPr>
        <w:t>PLANUL NAȚIONAL DE REDRESARE ȘI REZILIENȚĂ</w:t>
      </w:r>
    </w:p>
    <w:p w14:paraId="70A7282D" w14:textId="77777777" w:rsidR="000654CE" w:rsidRDefault="000654CE">
      <w:pPr>
        <w:spacing w:after="120" w:line="276" w:lineRule="auto"/>
        <w:ind w:left="990"/>
        <w:rPr>
          <w:rFonts w:ascii="Trebuchet MS" w:eastAsia="MS Mincho" w:hAnsi="Trebuchet MS" w:cs="Times New Roman"/>
          <w:b/>
          <w:i/>
          <w:sz w:val="22"/>
          <w:szCs w:val="22"/>
        </w:rPr>
      </w:pPr>
    </w:p>
    <w:p w14:paraId="57BD3816" w14:textId="77777777" w:rsidR="000654CE" w:rsidRDefault="000654CE">
      <w:pPr>
        <w:spacing w:after="120" w:line="276" w:lineRule="auto"/>
        <w:ind w:left="990"/>
        <w:rPr>
          <w:rFonts w:ascii="Trebuchet MS" w:eastAsia="MS Mincho" w:hAnsi="Trebuchet MS" w:cs="Times New Roman"/>
          <w:b/>
          <w:i/>
          <w:sz w:val="22"/>
          <w:szCs w:val="22"/>
        </w:rPr>
      </w:pPr>
    </w:p>
    <w:p w14:paraId="111D9A02" w14:textId="77777777" w:rsidR="000654CE" w:rsidRDefault="00000000">
      <w:pPr>
        <w:spacing w:after="120" w:line="276" w:lineRule="auto"/>
        <w:ind w:left="990"/>
        <w:rPr>
          <w:rFonts w:ascii="Trebuchet MS" w:eastAsia="MS Mincho" w:hAnsi="Trebuchet MS" w:cs="Times New Roman"/>
          <w:b/>
          <w:i/>
          <w:sz w:val="22"/>
          <w:szCs w:val="22"/>
        </w:rPr>
      </w:pPr>
      <w:r>
        <w:rPr>
          <w:rFonts w:ascii="Trebuchet MS" w:eastAsia="MS Mincho" w:hAnsi="Trebuchet MS" w:cs="Times New Roman"/>
          <w:b/>
          <w:i/>
          <w:sz w:val="22"/>
          <w:szCs w:val="22"/>
        </w:rPr>
        <w:t xml:space="preserve">                                                      </w:t>
      </w:r>
    </w:p>
    <w:p w14:paraId="37A9F56D" w14:textId="77777777" w:rsidR="000654CE" w:rsidRDefault="00000000">
      <w:pPr>
        <w:spacing w:after="120" w:line="276" w:lineRule="auto"/>
        <w:ind w:left="990"/>
        <w:jc w:val="center"/>
        <w:rPr>
          <w:rFonts w:ascii="Trebuchet MS" w:eastAsia="MS Mincho" w:hAnsi="Trebuchet MS" w:cs="Times New Roman"/>
          <w:b/>
          <w:i/>
          <w:sz w:val="22"/>
          <w:szCs w:val="22"/>
        </w:rPr>
      </w:pPr>
      <w:r>
        <w:rPr>
          <w:rFonts w:ascii="Trebuchet MS" w:eastAsia="MS Mincho" w:hAnsi="Trebuchet MS" w:cs="Times New Roman"/>
          <w:b/>
          <w:i/>
          <w:sz w:val="22"/>
          <w:szCs w:val="22"/>
        </w:rPr>
        <w:t xml:space="preserve">GHID DE CONTRACTARE </w:t>
      </w:r>
    </w:p>
    <w:p w14:paraId="0E392101" w14:textId="77777777" w:rsidR="000654CE" w:rsidRDefault="000654CE">
      <w:pPr>
        <w:spacing w:after="120" w:line="276" w:lineRule="auto"/>
        <w:ind w:left="990"/>
        <w:jc w:val="center"/>
        <w:rPr>
          <w:rFonts w:ascii="Trebuchet MS" w:eastAsia="MS Mincho" w:hAnsi="Trebuchet MS" w:cs="Times New Roman"/>
          <w:b/>
          <w:i/>
          <w:sz w:val="22"/>
          <w:szCs w:val="22"/>
        </w:rPr>
      </w:pPr>
    </w:p>
    <w:p w14:paraId="40B3E500" w14:textId="77777777" w:rsidR="000654CE" w:rsidRDefault="00000000">
      <w:pPr>
        <w:spacing w:after="120" w:line="276" w:lineRule="auto"/>
        <w:ind w:left="990"/>
        <w:jc w:val="center"/>
        <w:rPr>
          <w:rFonts w:ascii="Trebuchet MS" w:eastAsia="MS Mincho" w:hAnsi="Trebuchet MS" w:cs="Times New Roman"/>
          <w:b/>
          <w:i/>
          <w:sz w:val="22"/>
          <w:szCs w:val="22"/>
        </w:rPr>
      </w:pPr>
      <w:r>
        <w:rPr>
          <w:rFonts w:ascii="Trebuchet MS" w:eastAsia="MS Mincho" w:hAnsi="Trebuchet MS" w:cs="Times New Roman"/>
          <w:b/>
          <w:i/>
          <w:sz w:val="22"/>
          <w:szCs w:val="22"/>
        </w:rPr>
        <w:t xml:space="preserve">PIIEC ME/CT - PARTICIPANȚI DIRECȚI </w:t>
      </w:r>
    </w:p>
    <w:p w14:paraId="50650F56" w14:textId="77777777" w:rsidR="000654CE" w:rsidRDefault="000654CE">
      <w:pPr>
        <w:spacing w:after="120" w:line="276" w:lineRule="auto"/>
        <w:ind w:left="990"/>
        <w:jc w:val="center"/>
        <w:rPr>
          <w:rFonts w:ascii="Trebuchet MS" w:eastAsia="MS Mincho" w:hAnsi="Trebuchet MS" w:cs="Times New Roman"/>
          <w:b/>
          <w:i/>
          <w:sz w:val="22"/>
          <w:szCs w:val="22"/>
        </w:rPr>
      </w:pPr>
    </w:p>
    <w:p w14:paraId="500A2404" w14:textId="77777777" w:rsidR="000654CE" w:rsidRDefault="000654CE">
      <w:pPr>
        <w:spacing w:after="120" w:line="276" w:lineRule="auto"/>
        <w:ind w:left="990"/>
        <w:jc w:val="center"/>
        <w:rPr>
          <w:rFonts w:ascii="Trebuchet MS" w:eastAsia="MS Mincho" w:hAnsi="Trebuchet MS" w:cs="Times New Roman"/>
          <w:b/>
          <w:i/>
          <w:sz w:val="22"/>
          <w:szCs w:val="22"/>
        </w:rPr>
      </w:pPr>
    </w:p>
    <w:p w14:paraId="30149C20" w14:textId="77777777" w:rsidR="000654CE" w:rsidRDefault="000654CE">
      <w:pPr>
        <w:spacing w:after="120" w:line="276" w:lineRule="auto"/>
        <w:ind w:left="990"/>
        <w:jc w:val="center"/>
        <w:rPr>
          <w:rFonts w:ascii="Trebuchet MS" w:eastAsia="MS Mincho" w:hAnsi="Trebuchet MS" w:cs="Times New Roman"/>
          <w:b/>
          <w:i/>
          <w:sz w:val="22"/>
          <w:szCs w:val="22"/>
        </w:rPr>
      </w:pPr>
    </w:p>
    <w:p w14:paraId="21B635F8" w14:textId="77777777" w:rsidR="000654CE" w:rsidRDefault="00000000">
      <w:pPr>
        <w:spacing w:after="120" w:line="276" w:lineRule="auto"/>
        <w:ind w:left="990"/>
        <w:jc w:val="center"/>
        <w:rPr>
          <w:rFonts w:ascii="Trebuchet MS" w:eastAsia="MS Mincho" w:hAnsi="Trebuchet MS" w:cs="Times New Roman"/>
          <w:b/>
          <w:i/>
          <w:sz w:val="22"/>
          <w:szCs w:val="22"/>
        </w:rPr>
      </w:pPr>
      <w:r>
        <w:rPr>
          <w:rFonts w:ascii="Trebuchet MS" w:eastAsia="MS Mincho" w:hAnsi="Trebuchet MS" w:cs="Times New Roman"/>
          <w:b/>
          <w:i/>
          <w:sz w:val="22"/>
          <w:szCs w:val="22"/>
        </w:rPr>
        <w:t>COMPONENTA C9. SUPORT PENTRU SECTORUL PRIVAT, CERCETARE, DEZVOLTARE ȘI INOVARE</w:t>
      </w:r>
    </w:p>
    <w:p w14:paraId="6641235D" w14:textId="77777777" w:rsidR="000654CE" w:rsidRDefault="000654CE">
      <w:pPr>
        <w:spacing w:after="120" w:line="276" w:lineRule="auto"/>
        <w:ind w:left="990"/>
        <w:jc w:val="center"/>
        <w:rPr>
          <w:rFonts w:ascii="Trebuchet MS" w:eastAsia="MS Mincho" w:hAnsi="Trebuchet MS" w:cs="Times New Roman"/>
          <w:b/>
          <w:i/>
          <w:sz w:val="22"/>
          <w:szCs w:val="22"/>
        </w:rPr>
      </w:pPr>
    </w:p>
    <w:p w14:paraId="6BF6906F" w14:textId="77777777" w:rsidR="000654CE" w:rsidRDefault="000654CE">
      <w:pPr>
        <w:spacing w:after="120" w:line="276" w:lineRule="auto"/>
        <w:ind w:left="990"/>
        <w:jc w:val="center"/>
        <w:rPr>
          <w:rFonts w:ascii="Trebuchet MS" w:eastAsia="MS Mincho" w:hAnsi="Trebuchet MS" w:cs="Times New Roman"/>
          <w:b/>
          <w:i/>
          <w:sz w:val="22"/>
          <w:szCs w:val="22"/>
        </w:rPr>
      </w:pPr>
    </w:p>
    <w:p w14:paraId="6D0FD082" w14:textId="77777777" w:rsidR="000654CE" w:rsidRDefault="00000000">
      <w:pPr>
        <w:spacing w:after="120" w:line="276" w:lineRule="auto"/>
        <w:ind w:left="990"/>
        <w:jc w:val="center"/>
        <w:rPr>
          <w:rFonts w:ascii="Trebuchet MS" w:eastAsia="MS Mincho" w:hAnsi="Trebuchet MS" w:cs="Times New Roman"/>
          <w:b/>
          <w:i/>
          <w:sz w:val="22"/>
          <w:szCs w:val="22"/>
        </w:rPr>
      </w:pPr>
      <w:r>
        <w:rPr>
          <w:rFonts w:ascii="Trebuchet MS" w:eastAsia="MS Mincho" w:hAnsi="Trebuchet MS" w:cs="Times New Roman"/>
          <w:b/>
          <w:i/>
          <w:sz w:val="22"/>
          <w:szCs w:val="22"/>
        </w:rPr>
        <w:t>INVESTIȚIA I4. PROIECTE TRANSFRONTALIERE ȘI MULTINAȚIONALE – PROCESOARE CU CONSUM REDUS DE ENERGIE ȘI CIPURI SEMICONDUCTOARE</w:t>
      </w:r>
      <w:bookmarkStart w:id="0" w:name="_Hlk147845934"/>
      <w:bookmarkEnd w:id="0"/>
    </w:p>
    <w:p w14:paraId="12BEF182" w14:textId="77777777" w:rsidR="000654CE" w:rsidRDefault="000654CE">
      <w:pPr>
        <w:spacing w:after="120" w:line="276" w:lineRule="auto"/>
        <w:ind w:left="990"/>
        <w:jc w:val="both"/>
        <w:rPr>
          <w:rFonts w:ascii="Trebuchet MS" w:hAnsi="Trebuchet MS"/>
          <w:iCs/>
          <w:sz w:val="22"/>
          <w:szCs w:val="22"/>
        </w:rPr>
      </w:pPr>
    </w:p>
    <w:p w14:paraId="4243B974" w14:textId="77777777" w:rsidR="000654CE" w:rsidRDefault="000654CE">
      <w:pPr>
        <w:spacing w:after="120" w:line="276" w:lineRule="auto"/>
        <w:ind w:left="990"/>
        <w:jc w:val="both"/>
        <w:rPr>
          <w:rFonts w:ascii="Trebuchet MS" w:hAnsi="Trebuchet MS"/>
          <w:iCs/>
          <w:sz w:val="22"/>
          <w:szCs w:val="22"/>
        </w:rPr>
      </w:pPr>
    </w:p>
    <w:p w14:paraId="3B2E7DF1" w14:textId="77777777" w:rsidR="000654CE" w:rsidRDefault="000654CE">
      <w:pPr>
        <w:spacing w:after="120" w:line="276" w:lineRule="auto"/>
        <w:ind w:left="990"/>
        <w:jc w:val="both"/>
        <w:rPr>
          <w:rFonts w:ascii="Trebuchet MS" w:hAnsi="Trebuchet MS"/>
          <w:iCs/>
          <w:sz w:val="22"/>
          <w:szCs w:val="22"/>
        </w:rPr>
      </w:pPr>
    </w:p>
    <w:p w14:paraId="01A2687C" w14:textId="77777777" w:rsidR="000654CE" w:rsidRDefault="000654CE">
      <w:pPr>
        <w:spacing w:after="120" w:line="276" w:lineRule="auto"/>
        <w:ind w:left="990"/>
        <w:jc w:val="both"/>
        <w:rPr>
          <w:rFonts w:ascii="Trebuchet MS" w:hAnsi="Trebuchet MS"/>
          <w:iCs/>
          <w:sz w:val="22"/>
          <w:szCs w:val="22"/>
        </w:rPr>
      </w:pPr>
    </w:p>
    <w:p w14:paraId="4E8F2008" w14:textId="77777777" w:rsidR="000654CE" w:rsidRDefault="000654CE">
      <w:pPr>
        <w:spacing w:after="120" w:line="276" w:lineRule="auto"/>
        <w:ind w:left="990"/>
        <w:jc w:val="both"/>
        <w:rPr>
          <w:rFonts w:ascii="Trebuchet MS" w:hAnsi="Trebuchet MS"/>
          <w:iCs/>
          <w:sz w:val="22"/>
          <w:szCs w:val="22"/>
        </w:rPr>
      </w:pPr>
    </w:p>
    <w:p w14:paraId="63CCBB95" w14:textId="77777777" w:rsidR="000654CE" w:rsidRDefault="00000000">
      <w:pPr>
        <w:widowControl w:val="0"/>
        <w:ind w:left="720"/>
        <w:jc w:val="both"/>
        <w:rPr>
          <w:b/>
          <w:smallCaps/>
          <w:color w:val="7030A0"/>
        </w:rPr>
      </w:pPr>
      <w:r>
        <w:rPr>
          <w:b/>
          <w:smallCaps/>
          <w:color w:val="7030A0"/>
        </w:rPr>
        <w:t>MINISTERUL INVESTIȚIILOR ȘI PROIECTELOR EUROPENE - COORDONATOR DE REFORME ȘI INVESTIȚII</w:t>
      </w:r>
    </w:p>
    <w:p w14:paraId="40451EEB" w14:textId="77777777" w:rsidR="000654CE" w:rsidRDefault="00000000">
      <w:pPr>
        <w:widowControl w:val="0"/>
        <w:ind w:left="720"/>
        <w:jc w:val="both"/>
        <w:rPr>
          <w:b/>
          <w:smallCaps/>
          <w:color w:val="7030A0"/>
        </w:rPr>
      </w:pPr>
      <w:r>
        <w:rPr>
          <w:b/>
          <w:smallCaps/>
          <w:color w:val="7030A0"/>
        </w:rPr>
        <w:t>DIRECȚIA GENERALĂ IMPLEMENTARE PNNR ȘI INSTRUMENTE FINANCIARE</w:t>
      </w:r>
    </w:p>
    <w:p w14:paraId="36BFE467" w14:textId="77777777" w:rsidR="000654CE" w:rsidRDefault="00000000">
      <w:pPr>
        <w:widowControl w:val="0"/>
        <w:ind w:left="720"/>
        <w:jc w:val="both"/>
        <w:rPr>
          <w:b/>
          <w:smallCaps/>
          <w:color w:val="7030A0"/>
        </w:rPr>
      </w:pPr>
      <w:r>
        <w:rPr>
          <w:b/>
          <w:smallCaps/>
          <w:color w:val="7030A0"/>
        </w:rPr>
        <w:t>ADRESĂ: ȘOS. BUCURESTI-PLOIESTI, NR. 1–1B, VICTORIA OFFICE INTRAREA STR. MENUETULUI, NR. 7, SECTOR 1, BUCUREȘTI</w:t>
      </w:r>
    </w:p>
    <w:p w14:paraId="7AAA24BF" w14:textId="77777777" w:rsidR="000654CE" w:rsidRDefault="00000000">
      <w:pPr>
        <w:widowControl w:val="0"/>
        <w:spacing w:after="120" w:line="276" w:lineRule="auto"/>
        <w:ind w:left="1710"/>
        <w:jc w:val="both"/>
        <w:rPr>
          <w:rFonts w:ascii="Trebuchet MS" w:hAnsi="Trebuchet MS"/>
          <w:iCs/>
          <w:sz w:val="22"/>
          <w:szCs w:val="22"/>
        </w:rPr>
      </w:pPr>
      <w:r>
        <w:rPr>
          <w:rFonts w:ascii="Trebuchet MS" w:hAnsi="Trebuchet MS"/>
          <w:b/>
          <w:iCs/>
          <w:smallCaps/>
          <w:color w:val="7030A0"/>
        </w:rPr>
        <w:t xml:space="preserve">E-MAIL: </w:t>
      </w:r>
      <w:hyperlink r:id="rId8">
        <w:r>
          <w:rPr>
            <w:rStyle w:val="Hyperlink"/>
            <w:rFonts w:ascii="Times New Roman" w:eastAsia="Times New Roman" w:hAnsi="Times New Roman" w:cs="Times New Roman"/>
            <w:iCs/>
            <w:lang w:eastAsia="ro-RO"/>
          </w:rPr>
          <w:t>contact.implementarepnrr@mfe.gov.ro</w:t>
        </w:r>
      </w:hyperlink>
    </w:p>
    <w:p w14:paraId="6C50B1B7" w14:textId="77777777" w:rsidR="000654CE" w:rsidRDefault="000654CE">
      <w:pPr>
        <w:ind w:left="720"/>
        <w:jc w:val="both"/>
        <w:rPr>
          <w:rFonts w:ascii="Calibri" w:eastAsia="Calibri" w:hAnsi="Calibri"/>
          <w:b/>
          <w:iCs/>
          <w:smallCaps/>
          <w:color w:val="7030A0"/>
        </w:rPr>
      </w:pPr>
    </w:p>
    <w:p w14:paraId="6EBE9CE8" w14:textId="77777777" w:rsidR="000654CE" w:rsidRDefault="00000000">
      <w:pPr>
        <w:ind w:left="720"/>
        <w:jc w:val="both"/>
        <w:rPr>
          <w:rFonts w:ascii="Calibri" w:eastAsia="Calibri" w:hAnsi="Calibri"/>
          <w:b/>
          <w:iCs/>
          <w:smallCaps/>
          <w:color w:val="7030A0"/>
        </w:rPr>
      </w:pPr>
      <w:r>
        <w:rPr>
          <w:rFonts w:eastAsia="Calibri"/>
          <w:b/>
          <w:iCs/>
          <w:smallCaps/>
          <w:color w:val="7030A0"/>
        </w:rPr>
        <w:t>MINISTERUL ECONOMIEI, ANTREPRENORIATULUI ȘI TURISMULUI – AGENȚIE DE IMPLEMENTARE</w:t>
      </w:r>
    </w:p>
    <w:p w14:paraId="219671FC" w14:textId="77777777" w:rsidR="000654CE" w:rsidRDefault="00000000">
      <w:pPr>
        <w:ind w:left="720"/>
        <w:jc w:val="both"/>
        <w:rPr>
          <w:rFonts w:ascii="Calibri" w:eastAsia="Calibri" w:hAnsi="Calibri"/>
          <w:b/>
          <w:iCs/>
          <w:smallCaps/>
          <w:color w:val="7030A0"/>
        </w:rPr>
      </w:pPr>
      <w:r>
        <w:rPr>
          <w:rFonts w:eastAsia="Calibri"/>
          <w:b/>
          <w:iCs/>
          <w:smallCaps/>
          <w:color w:val="7030A0"/>
        </w:rPr>
        <w:t>DIRECȚIA POLITICI INDUSTRIALE ȘI COMPETITIVITATE</w:t>
      </w:r>
    </w:p>
    <w:p w14:paraId="239F9436" w14:textId="77777777" w:rsidR="000654CE" w:rsidRDefault="00000000">
      <w:pPr>
        <w:ind w:left="720"/>
        <w:jc w:val="both"/>
        <w:rPr>
          <w:rFonts w:ascii="Trebuchet MS" w:eastAsia="Calibri" w:hAnsi="Trebuchet MS"/>
          <w:b/>
          <w:iCs/>
          <w:smallCaps/>
          <w:color w:val="7030A0"/>
        </w:rPr>
      </w:pPr>
      <w:r>
        <w:rPr>
          <w:rFonts w:ascii="Trebuchet MS" w:eastAsia="Calibri" w:hAnsi="Trebuchet MS"/>
          <w:b/>
          <w:iCs/>
          <w:smallCaps/>
          <w:color w:val="7030A0"/>
        </w:rPr>
        <w:t xml:space="preserve">Adresă: calea victoriei, nr.152, sector 1, bucurești </w:t>
      </w:r>
    </w:p>
    <w:p w14:paraId="3C058FEB" w14:textId="77777777" w:rsidR="000654CE" w:rsidRDefault="00000000">
      <w:pPr>
        <w:pStyle w:val="BodyText"/>
        <w:ind w:left="1440"/>
      </w:pPr>
      <w:r>
        <w:rPr>
          <w:rFonts w:eastAsia="Calibri"/>
          <w:b/>
          <w:smallCaps/>
          <w:color w:val="7030A0"/>
        </w:rPr>
        <w:t xml:space="preserve">E-MAIL: </w:t>
      </w:r>
      <w:hyperlink r:id="rId9">
        <w:r>
          <w:rPr>
            <w:rStyle w:val="Hyperlink"/>
          </w:rPr>
          <w:t>office.minister@economie.gov.ro</w:t>
        </w:r>
      </w:hyperlink>
      <w:r>
        <w:t xml:space="preserve"> </w:t>
      </w:r>
    </w:p>
    <w:p w14:paraId="3C6EFBF8" w14:textId="77777777" w:rsidR="000654CE" w:rsidRDefault="000654CE">
      <w:pPr>
        <w:spacing w:after="120" w:line="276" w:lineRule="auto"/>
        <w:ind w:left="1710"/>
        <w:jc w:val="both"/>
        <w:rPr>
          <w:rFonts w:ascii="Trebuchet MS" w:hAnsi="Trebuchet MS"/>
          <w:iCs/>
          <w:sz w:val="22"/>
          <w:szCs w:val="22"/>
        </w:rPr>
      </w:pPr>
    </w:p>
    <w:p w14:paraId="08C52B85" w14:textId="77777777" w:rsidR="000654CE" w:rsidRDefault="000654CE">
      <w:pPr>
        <w:spacing w:after="120" w:line="276" w:lineRule="auto"/>
        <w:ind w:left="990"/>
        <w:jc w:val="both"/>
        <w:rPr>
          <w:rFonts w:ascii="Trebuchet MS" w:hAnsi="Trebuchet MS"/>
          <w:iCs/>
          <w:sz w:val="22"/>
          <w:szCs w:val="22"/>
        </w:rPr>
      </w:pPr>
    </w:p>
    <w:p w14:paraId="0F23394D" w14:textId="77777777" w:rsidR="000654CE" w:rsidRDefault="000654CE">
      <w:pPr>
        <w:spacing w:after="120" w:line="276" w:lineRule="auto"/>
        <w:ind w:left="990"/>
        <w:jc w:val="both"/>
        <w:rPr>
          <w:rFonts w:ascii="Trebuchet MS" w:hAnsi="Trebuchet MS"/>
          <w:iCs/>
          <w:sz w:val="22"/>
          <w:szCs w:val="22"/>
        </w:rPr>
      </w:pPr>
    </w:p>
    <w:p w14:paraId="555A0A59" w14:textId="77777777" w:rsidR="000654CE" w:rsidRDefault="00000000">
      <w:pPr>
        <w:jc w:val="both"/>
      </w:pPr>
      <w:r>
        <w:rPr>
          <w:b/>
          <w:color w:val="7030A0"/>
          <w:u w:val="single"/>
        </w:rPr>
        <w:lastRenderedPageBreak/>
        <w:t>PREAMBUL</w:t>
      </w:r>
    </w:p>
    <w:p w14:paraId="7A4BEE31" w14:textId="77777777" w:rsidR="000654CE" w:rsidRDefault="000654CE">
      <w:pPr>
        <w:jc w:val="both"/>
        <w:rPr>
          <w:u w:val="single"/>
        </w:rPr>
      </w:pPr>
    </w:p>
    <w:p w14:paraId="4DFDC34A" w14:textId="77777777" w:rsidR="000654CE" w:rsidRDefault="00000000">
      <w:r>
        <w:t>Acest document se aplică apelului de proiecte aferente Componentei C9. SUPORT PENTRU SECTORUL PRIVAT, CERCETARE, DEZVOLTARE ȘI INOVARE, Investiția I4. Proiecte transfrontaliere și multinaționale – procesoare cu consum redus de energie și cipuri semiconductoare,</w:t>
      </w:r>
      <w:r>
        <w:rPr>
          <w:i/>
        </w:rPr>
        <w:t xml:space="preserve"> </w:t>
      </w:r>
      <w:r>
        <w:t>în cadrul planului național de redresare și reziliență (PNRR).</w:t>
      </w:r>
    </w:p>
    <w:p w14:paraId="1B39C088" w14:textId="77777777" w:rsidR="000654CE" w:rsidRDefault="00000000">
      <w:pPr>
        <w:pBdr>
          <w:left w:val="single" w:sz="4" w:space="0" w:color="808080"/>
        </w:pBdr>
        <w:tabs>
          <w:tab w:val="left" w:pos="2520"/>
        </w:tabs>
        <w:ind w:left="720"/>
        <w:jc w:val="both"/>
      </w:pPr>
      <w:r>
        <w:rPr>
          <w:color w:val="000000"/>
        </w:rPr>
        <w:tab/>
      </w:r>
    </w:p>
    <w:p w14:paraId="119BE24C" w14:textId="77777777" w:rsidR="000654CE" w:rsidRDefault="00000000">
      <w:pPr>
        <w:pBdr>
          <w:left w:val="single" w:sz="4" w:space="0" w:color="808080"/>
        </w:pBdr>
        <w:tabs>
          <w:tab w:val="left" w:pos="3780"/>
        </w:tabs>
        <w:ind w:left="720"/>
        <w:jc w:val="both"/>
      </w:pPr>
      <w:r>
        <w:rPr>
          <w:color w:val="000000"/>
        </w:rPr>
        <w:t xml:space="preserve">Apelul de proiecte se lansează prin aplicația pentru depunerea proiectelor de investiții finanțate în cadrul Planului Național de Redresare și Rezilență. Platforma poate fi accesată la următorul link: </w:t>
      </w:r>
      <w:r>
        <w:fldChar w:fldCharType="begin"/>
      </w:r>
      <w:r>
        <w:instrText>HYPERLINK "https://proiecte.pnrr.gov.ro/" \h</w:instrText>
      </w:r>
      <w:r>
        <w:fldChar w:fldCharType="separate"/>
      </w:r>
      <w:r>
        <w:rPr>
          <w:color w:val="0000FF"/>
          <w:u w:val="single"/>
        </w:rPr>
        <w:t>https://proiecte.pnrr.gov.ro</w:t>
      </w:r>
      <w:r>
        <w:rPr>
          <w:color w:val="0000FF"/>
          <w:u w:val="single"/>
        </w:rPr>
        <w:fldChar w:fldCharType="end"/>
      </w:r>
      <w:r>
        <w:rPr>
          <w:color w:val="000000"/>
        </w:rPr>
        <w:t xml:space="preserve"> .</w:t>
      </w:r>
    </w:p>
    <w:p w14:paraId="24453CA0" w14:textId="77777777" w:rsidR="000654CE" w:rsidRDefault="000654CE">
      <w:pPr>
        <w:pBdr>
          <w:left w:val="single" w:sz="4" w:space="0" w:color="808080"/>
        </w:pBdr>
        <w:tabs>
          <w:tab w:val="left" w:pos="3780"/>
        </w:tabs>
        <w:ind w:left="720"/>
        <w:jc w:val="both"/>
        <w:rPr>
          <w:color w:val="000000"/>
        </w:rPr>
      </w:pPr>
    </w:p>
    <w:p w14:paraId="0F3396C0" w14:textId="77777777" w:rsidR="000654CE" w:rsidRDefault="000654CE">
      <w:pPr>
        <w:pBdr>
          <w:left w:val="single" w:sz="4" w:space="0" w:color="808080"/>
        </w:pBdr>
        <w:ind w:left="720"/>
        <w:jc w:val="both"/>
        <w:rPr>
          <w:color w:val="000000"/>
        </w:rPr>
      </w:pPr>
    </w:p>
    <w:p w14:paraId="492B084F" w14:textId="77777777" w:rsidR="000654CE" w:rsidRDefault="00000000">
      <w:pPr>
        <w:pBdr>
          <w:left w:val="single" w:sz="4" w:space="0" w:color="808080"/>
        </w:pBdr>
        <w:tabs>
          <w:tab w:val="left" w:pos="3780"/>
        </w:tabs>
        <w:ind w:left="720"/>
        <w:jc w:val="both"/>
      </w:pPr>
      <w:bookmarkStart w:id="1" w:name="_gjdgxs"/>
      <w:bookmarkEnd w:id="1"/>
      <w:r>
        <w:rPr>
          <w:color w:val="000000"/>
        </w:rPr>
        <w:t>Evaluareainformațiilor incluse în cererea de finanțare se realizează sistematic, în conformitate cu prevederile prezentului Ghid privind regulile şi condiţiile aplicabile finanţării din fondurile europene aferente PNRR în cadrul apelului de proiecte, aprobat și publicat pe site-ul Ministerului Investițiilor și Proiectelor Europene .</w:t>
      </w:r>
    </w:p>
    <w:p w14:paraId="12EAA042" w14:textId="77777777" w:rsidR="000654CE" w:rsidRDefault="000654CE">
      <w:pPr>
        <w:pBdr>
          <w:left w:val="single" w:sz="4" w:space="0" w:color="808080"/>
        </w:pBdr>
        <w:ind w:left="720"/>
        <w:jc w:val="both"/>
        <w:rPr>
          <w:color w:val="000000"/>
        </w:rPr>
      </w:pPr>
    </w:p>
    <w:p w14:paraId="4E12CA7C" w14:textId="77777777" w:rsidR="000654CE" w:rsidRDefault="00000000">
      <w:pPr>
        <w:pBdr>
          <w:left w:val="single" w:sz="4" w:space="0" w:color="808080"/>
        </w:pBdr>
        <w:ind w:left="720"/>
        <w:jc w:val="both"/>
        <w:rPr>
          <w:color w:val="000000"/>
        </w:rPr>
      </w:pPr>
      <w:r>
        <w:rPr>
          <w:color w:val="000000"/>
        </w:rPr>
        <w:t>Aspectele cuprinse în documentele ce derivă din Planul Național de Redresare și Reziliență al României și modul său de implementare vor fi interpretate exclusiv de către Ministerul Investițiilor și Proiectelor Europene, cu respectarea legislației în vigoare.</w:t>
      </w:r>
    </w:p>
    <w:p w14:paraId="41EECDF7" w14:textId="77777777" w:rsidR="000654CE" w:rsidRDefault="000654CE">
      <w:pPr>
        <w:jc w:val="both"/>
        <w:rPr>
          <w:u w:val="single"/>
        </w:rPr>
      </w:pPr>
    </w:p>
    <w:p w14:paraId="01604B2F" w14:textId="77777777" w:rsidR="000654CE" w:rsidRDefault="000654CE">
      <w:pPr>
        <w:jc w:val="both"/>
        <w:rPr>
          <w:u w:val="single"/>
        </w:rPr>
      </w:pPr>
    </w:p>
    <w:p w14:paraId="6631045E" w14:textId="77777777" w:rsidR="000654CE" w:rsidRDefault="00000000">
      <w:pPr>
        <w:jc w:val="both"/>
      </w:pPr>
      <w:r>
        <w:rPr>
          <w:color w:val="7030A0"/>
          <w:u w:val="single"/>
        </w:rPr>
        <w:t>IMPORTANT</w:t>
      </w:r>
    </w:p>
    <w:p w14:paraId="01817022" w14:textId="77777777" w:rsidR="000654CE" w:rsidRDefault="000654CE">
      <w:pPr>
        <w:jc w:val="both"/>
        <w:rPr>
          <w:u w:val="single"/>
        </w:rPr>
      </w:pPr>
    </w:p>
    <w:p w14:paraId="5DB76918" w14:textId="77777777" w:rsidR="000654CE" w:rsidRDefault="00000000">
      <w:pPr>
        <w:pBdr>
          <w:left w:val="single" w:sz="4" w:space="31" w:color="808080"/>
        </w:pBdr>
        <w:ind w:left="1440"/>
        <w:jc w:val="both"/>
      </w:pPr>
      <w:r>
        <w:rPr>
          <w:color w:val="000000"/>
        </w:rPr>
        <w:t>Vă recomandăm ca înainte de a începe completarea cererii de finanțare pentru apelul de proiecte, să vă asiguraţi că aţi parcurs toate informaţiile prezentate în acest document</w:t>
      </w:r>
      <w:r>
        <w:rPr>
          <w:i/>
          <w:color w:val="000000"/>
        </w:rPr>
        <w:t xml:space="preserve"> </w:t>
      </w:r>
      <w:r>
        <w:rPr>
          <w:color w:val="000000"/>
        </w:rPr>
        <w:t>şi să vă asigurați că aţi înţeles toate aspectele legate de specificul intervenţiilor finanţate din fonduri europene aferente PNRR.</w:t>
      </w:r>
    </w:p>
    <w:p w14:paraId="6047A605" w14:textId="77777777" w:rsidR="000654CE" w:rsidRDefault="000654CE">
      <w:pPr>
        <w:pBdr>
          <w:left w:val="single" w:sz="4" w:space="31" w:color="808080"/>
        </w:pBdr>
        <w:ind w:left="1440"/>
        <w:jc w:val="both"/>
        <w:rPr>
          <w:color w:val="000000"/>
        </w:rPr>
      </w:pPr>
    </w:p>
    <w:p w14:paraId="37B8ED20" w14:textId="77777777" w:rsidR="000654CE" w:rsidRDefault="00000000">
      <w:pPr>
        <w:pBdr>
          <w:left w:val="single" w:sz="4" w:space="31" w:color="808080"/>
        </w:pBdr>
        <w:ind w:left="1440"/>
        <w:jc w:val="both"/>
      </w:pPr>
      <w:r>
        <w:rPr>
          <w:color w:val="000000"/>
        </w:rPr>
        <w:t xml:space="preserve">Vă recomandăm ca până la data limită de depunere a cererilor de finanţare în cadrul prezentului apel de proiecte să consultaţi periodic pagina de internet www. </w:t>
      </w:r>
      <w:r>
        <w:fldChar w:fldCharType="begin"/>
      </w:r>
      <w:r>
        <w:instrText>HYPERLINK "https://mfe.gov.ro/category/anunturi-pnrr/" \h</w:instrText>
      </w:r>
      <w:r>
        <w:fldChar w:fldCharType="separate"/>
      </w:r>
      <w:r>
        <w:rPr>
          <w:color w:val="0000FF"/>
          <w:u w:val="single"/>
        </w:rPr>
        <w:t>https:/mfe.gov.ro/category/anunturi-pnrr/</w:t>
      </w:r>
      <w:r>
        <w:rPr>
          <w:color w:val="0000FF"/>
          <w:u w:val="single"/>
        </w:rPr>
        <w:fldChar w:fldCharType="end"/>
      </w:r>
      <w:r>
        <w:rPr>
          <w:color w:val="000000"/>
        </w:rPr>
        <w:t xml:space="preserve"> pentru a urmări eventualele modificări/interpretări ale condiţiilor specifice, precum și alte comunicări/ clarificări pentru accesarea fondurilor europene aferente PNRR. </w:t>
      </w:r>
    </w:p>
    <w:p w14:paraId="4C6DC043" w14:textId="77777777" w:rsidR="000654CE" w:rsidRDefault="000654CE">
      <w:pPr>
        <w:pBdr>
          <w:left w:val="single" w:sz="4" w:space="31" w:color="808080"/>
        </w:pBdr>
        <w:ind w:left="1440"/>
        <w:jc w:val="both"/>
        <w:rPr>
          <w:color w:val="000000"/>
        </w:rPr>
      </w:pPr>
    </w:p>
    <w:p w14:paraId="2975A9CD" w14:textId="77777777" w:rsidR="000654CE" w:rsidRDefault="000654CE">
      <w:pPr>
        <w:pBdr>
          <w:left w:val="single" w:sz="4" w:space="31" w:color="808080"/>
        </w:pBdr>
        <w:spacing w:line="276" w:lineRule="auto"/>
        <w:ind w:left="1440"/>
        <w:jc w:val="both"/>
        <w:rPr>
          <w:color w:val="000000"/>
        </w:rPr>
      </w:pPr>
    </w:p>
    <w:p w14:paraId="21FFE0AF" w14:textId="77777777" w:rsidR="000654CE" w:rsidRDefault="000654CE">
      <w:pPr>
        <w:spacing w:after="120" w:line="276" w:lineRule="auto"/>
        <w:ind w:left="990"/>
        <w:jc w:val="both"/>
        <w:rPr>
          <w:rFonts w:ascii="Trebuchet MS" w:hAnsi="Trebuchet MS"/>
          <w:iCs/>
          <w:sz w:val="22"/>
          <w:szCs w:val="22"/>
        </w:rPr>
      </w:pPr>
    </w:p>
    <w:p w14:paraId="705B70CA" w14:textId="77777777" w:rsidR="000654CE" w:rsidRDefault="000654CE">
      <w:pPr>
        <w:spacing w:after="120" w:line="276" w:lineRule="auto"/>
        <w:ind w:left="990"/>
        <w:jc w:val="both"/>
        <w:rPr>
          <w:rFonts w:ascii="Trebuchet MS" w:hAnsi="Trebuchet MS"/>
          <w:iCs/>
          <w:sz w:val="22"/>
          <w:szCs w:val="22"/>
        </w:rPr>
      </w:pPr>
    </w:p>
    <w:p w14:paraId="7F02DFB4" w14:textId="77777777" w:rsidR="000654CE" w:rsidRDefault="000654CE">
      <w:pPr>
        <w:spacing w:after="120" w:line="276" w:lineRule="auto"/>
        <w:ind w:left="990"/>
        <w:jc w:val="both"/>
        <w:rPr>
          <w:rFonts w:ascii="Trebuchet MS" w:hAnsi="Trebuchet MS"/>
          <w:iCs/>
          <w:sz w:val="22"/>
          <w:szCs w:val="22"/>
        </w:rPr>
      </w:pPr>
    </w:p>
    <w:p w14:paraId="2C4CF301" w14:textId="77777777" w:rsidR="000654CE" w:rsidRDefault="000654CE">
      <w:pPr>
        <w:spacing w:after="120" w:line="276" w:lineRule="auto"/>
        <w:ind w:left="990"/>
        <w:jc w:val="both"/>
        <w:rPr>
          <w:rFonts w:ascii="Trebuchet MS" w:hAnsi="Trebuchet MS"/>
          <w:iCs/>
          <w:sz w:val="22"/>
          <w:szCs w:val="22"/>
        </w:rPr>
      </w:pPr>
    </w:p>
    <w:p w14:paraId="1F133586" w14:textId="77777777" w:rsidR="000654CE" w:rsidRDefault="00000000">
      <w:pPr>
        <w:spacing w:after="120" w:line="276" w:lineRule="auto"/>
        <w:ind w:left="990"/>
        <w:jc w:val="both"/>
        <w:rPr>
          <w:rFonts w:ascii="Trebuchet MS" w:hAnsi="Trebuchet MS"/>
          <w:iCs/>
          <w:sz w:val="22"/>
          <w:szCs w:val="22"/>
        </w:rPr>
      </w:pPr>
      <w:r>
        <w:br w:type="page"/>
      </w:r>
    </w:p>
    <w:p w14:paraId="3EF90615" w14:textId="77777777" w:rsidR="000654CE" w:rsidRDefault="000654CE">
      <w:pPr>
        <w:spacing w:after="120" w:line="276" w:lineRule="auto"/>
        <w:ind w:left="990"/>
        <w:jc w:val="both"/>
        <w:rPr>
          <w:rFonts w:ascii="Trebuchet MS" w:hAnsi="Trebuchet MS"/>
          <w:iCs/>
          <w:sz w:val="22"/>
          <w:szCs w:val="22"/>
        </w:rPr>
      </w:pPr>
    </w:p>
    <w:p w14:paraId="726B3A81" w14:textId="77777777" w:rsidR="000654CE" w:rsidRDefault="000654CE">
      <w:pPr>
        <w:spacing w:after="120" w:line="276" w:lineRule="auto"/>
        <w:ind w:left="990"/>
        <w:jc w:val="both"/>
        <w:rPr>
          <w:rFonts w:ascii="Trebuchet MS" w:hAnsi="Trebuchet MS"/>
          <w:iCs/>
          <w:sz w:val="22"/>
          <w:szCs w:val="22"/>
        </w:rPr>
      </w:pPr>
    </w:p>
    <w:sdt>
      <w:sdtPr>
        <w:rPr>
          <w:rFonts w:asciiTheme="minorHAnsi" w:eastAsiaTheme="minorHAnsi" w:hAnsiTheme="minorHAnsi" w:cstheme="minorBidi"/>
          <w:color w:val="auto"/>
          <w:sz w:val="24"/>
          <w:szCs w:val="24"/>
          <w:lang w:val="ro-RO"/>
        </w:rPr>
        <w:id w:val="-1802769363"/>
        <w:docPartObj>
          <w:docPartGallery w:val="Table of Contents"/>
          <w:docPartUnique/>
        </w:docPartObj>
      </w:sdtPr>
      <w:sdtContent>
        <w:p w14:paraId="16B04FC4" w14:textId="77777777" w:rsidR="000654CE" w:rsidRDefault="00000000">
          <w:pPr>
            <w:pStyle w:val="TOCHeading"/>
          </w:pPr>
          <w:proofErr w:type="spellStart"/>
          <w:r>
            <w:t>Cuprins</w:t>
          </w:r>
          <w:proofErr w:type="spellEnd"/>
          <w:r>
            <w:br/>
          </w:r>
        </w:p>
        <w:p w14:paraId="6D5B0647" w14:textId="5518AEC1" w:rsidR="00BD7A6C" w:rsidRPr="00BD7A6C" w:rsidRDefault="00000000" w:rsidP="00BD7A6C">
          <w:pPr>
            <w:pStyle w:val="TOC1"/>
            <w:rPr>
              <w:rFonts w:eastAsiaTheme="minorEastAsia"/>
              <w:noProof/>
              <w:kern w:val="2"/>
              <w:sz w:val="22"/>
              <w:szCs w:val="22"/>
              <w:lang w:val="en-US"/>
              <w14:ligatures w14:val="standardContextual"/>
            </w:rPr>
          </w:pPr>
          <w:r>
            <w:fldChar w:fldCharType="begin"/>
          </w:r>
          <w:r>
            <w:rPr>
              <w:rStyle w:val="IndexLink"/>
              <w:webHidden/>
            </w:rPr>
            <w:instrText>TOC \z \o "1-3" \u \h</w:instrText>
          </w:r>
          <w:r>
            <w:rPr>
              <w:rStyle w:val="IndexLink"/>
            </w:rPr>
            <w:fldChar w:fldCharType="separate"/>
          </w:r>
          <w:hyperlink w:anchor="_Toc149224621" w:history="1">
            <w:r w:rsidR="00BD7A6C" w:rsidRPr="00562160">
              <w:rPr>
                <w:rStyle w:val="Hyperlink"/>
                <w:rFonts w:ascii="Trebuchet MS" w:hAnsi="Trebuchet MS"/>
                <w:noProof/>
              </w:rPr>
              <w:t>1.Scopul ghidului</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_Toc149224621 \h </w:instrText>
            </w:r>
            <w:r w:rsidR="00BD7A6C" w:rsidRPr="00BD7A6C">
              <w:rPr>
                <w:noProof/>
                <w:webHidden/>
              </w:rPr>
            </w:r>
            <w:r w:rsidR="00BD7A6C" w:rsidRPr="00BD7A6C">
              <w:rPr>
                <w:noProof/>
                <w:webHidden/>
              </w:rPr>
              <w:fldChar w:fldCharType="separate"/>
            </w:r>
            <w:r w:rsidR="00A33C42">
              <w:rPr>
                <w:noProof/>
                <w:webHidden/>
              </w:rPr>
              <w:t>5</w:t>
            </w:r>
            <w:r w:rsidR="00BD7A6C" w:rsidRPr="00BD7A6C">
              <w:rPr>
                <w:noProof/>
                <w:webHidden/>
              </w:rPr>
              <w:fldChar w:fldCharType="end"/>
            </w:r>
          </w:hyperlink>
        </w:p>
        <w:p w14:paraId="580CC901" w14:textId="7C57C2F6" w:rsidR="00BD7A6C" w:rsidRPr="00BD7A6C" w:rsidRDefault="00000000" w:rsidP="00BD7A6C">
          <w:pPr>
            <w:pStyle w:val="TOC1"/>
            <w:rPr>
              <w:rFonts w:eastAsiaTheme="minorEastAsia"/>
              <w:noProof/>
              <w:kern w:val="2"/>
              <w:sz w:val="22"/>
              <w:szCs w:val="22"/>
              <w:lang w:val="en-US"/>
              <w14:ligatures w14:val="standardContextual"/>
            </w:rPr>
          </w:pPr>
          <w:hyperlink w:anchor="_Toc149224622" w:history="1">
            <w:r w:rsidR="00BD7A6C" w:rsidRPr="00562160">
              <w:rPr>
                <w:rStyle w:val="Hyperlink"/>
                <w:rFonts w:ascii="Trebuchet MS" w:hAnsi="Trebuchet MS"/>
                <w:noProof/>
              </w:rPr>
              <w:t>2.Buget; beneficiari; indicatori</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_Toc149224622 \h </w:instrText>
            </w:r>
            <w:r w:rsidR="00BD7A6C" w:rsidRPr="00BD7A6C">
              <w:rPr>
                <w:noProof/>
                <w:webHidden/>
              </w:rPr>
            </w:r>
            <w:r w:rsidR="00BD7A6C" w:rsidRPr="00BD7A6C">
              <w:rPr>
                <w:noProof/>
                <w:webHidden/>
              </w:rPr>
              <w:fldChar w:fldCharType="separate"/>
            </w:r>
            <w:r w:rsidR="00A33C42">
              <w:rPr>
                <w:noProof/>
                <w:webHidden/>
              </w:rPr>
              <w:t>5</w:t>
            </w:r>
            <w:r w:rsidR="00BD7A6C" w:rsidRPr="00BD7A6C">
              <w:rPr>
                <w:noProof/>
                <w:webHidden/>
              </w:rPr>
              <w:fldChar w:fldCharType="end"/>
            </w:r>
          </w:hyperlink>
        </w:p>
        <w:p w14:paraId="7D8804E6" w14:textId="0B4F17E0" w:rsidR="00BD7A6C" w:rsidRPr="00BD7A6C" w:rsidRDefault="00000000" w:rsidP="00BD7A6C">
          <w:pPr>
            <w:pStyle w:val="TOC1"/>
            <w:rPr>
              <w:rFonts w:eastAsiaTheme="minorEastAsia"/>
              <w:noProof/>
              <w:kern w:val="2"/>
              <w:sz w:val="22"/>
              <w:szCs w:val="22"/>
              <w:lang w:val="en-US"/>
              <w14:ligatures w14:val="standardContextual"/>
            </w:rPr>
          </w:pPr>
          <w:hyperlink w:anchor="_Toc149224623" w:history="1">
            <w:r w:rsidR="00BD7A6C" w:rsidRPr="00D61223">
              <w:rPr>
                <w:rStyle w:val="Hyperlink"/>
                <w:rFonts w:ascii="Trebuchet MS" w:hAnsi="Trebuchet MS"/>
                <w:noProof/>
              </w:rPr>
              <w:t>3. Contractarea proiectului</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_Toc149224623 \h </w:instrText>
            </w:r>
            <w:r w:rsidR="00BD7A6C" w:rsidRPr="00BD7A6C">
              <w:rPr>
                <w:noProof/>
                <w:webHidden/>
              </w:rPr>
            </w:r>
            <w:r w:rsidR="00BD7A6C" w:rsidRPr="00BD7A6C">
              <w:rPr>
                <w:noProof/>
                <w:webHidden/>
              </w:rPr>
              <w:fldChar w:fldCharType="separate"/>
            </w:r>
            <w:r w:rsidR="00A33C42">
              <w:rPr>
                <w:noProof/>
                <w:webHidden/>
              </w:rPr>
              <w:t>8</w:t>
            </w:r>
            <w:r w:rsidR="00BD7A6C" w:rsidRPr="00BD7A6C">
              <w:rPr>
                <w:noProof/>
                <w:webHidden/>
              </w:rPr>
              <w:fldChar w:fldCharType="end"/>
            </w:r>
          </w:hyperlink>
        </w:p>
        <w:p w14:paraId="6630EE14" w14:textId="6EFEA889" w:rsidR="00BD7A6C" w:rsidRPr="00BD7A6C" w:rsidRDefault="00000000" w:rsidP="00BD7A6C">
          <w:pPr>
            <w:pStyle w:val="TOC2"/>
            <w:rPr>
              <w:rFonts w:eastAsiaTheme="minorEastAsia"/>
              <w:noProof/>
              <w:kern w:val="2"/>
              <w:sz w:val="22"/>
              <w:szCs w:val="22"/>
              <w:lang w:val="en-US"/>
              <w14:ligatures w14:val="standardContextual"/>
            </w:rPr>
          </w:pPr>
          <w:hyperlink w:anchor="_Toc149224624" w:history="1">
            <w:r w:rsidR="00BD7A6C" w:rsidRPr="00562160">
              <w:rPr>
                <w:rStyle w:val="Hyperlink"/>
                <w:rFonts w:ascii="Trebuchet MS" w:hAnsi="Trebuchet MS"/>
                <w:noProof/>
              </w:rPr>
              <w:t>3.1 Procesul de contractare</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_Toc149224624 \h </w:instrText>
            </w:r>
            <w:r w:rsidR="00BD7A6C" w:rsidRPr="00BD7A6C">
              <w:rPr>
                <w:noProof/>
                <w:webHidden/>
              </w:rPr>
            </w:r>
            <w:r w:rsidR="00BD7A6C" w:rsidRPr="00BD7A6C">
              <w:rPr>
                <w:noProof/>
                <w:webHidden/>
              </w:rPr>
              <w:fldChar w:fldCharType="separate"/>
            </w:r>
            <w:r w:rsidR="00A33C42">
              <w:rPr>
                <w:noProof/>
                <w:webHidden/>
              </w:rPr>
              <w:t>8</w:t>
            </w:r>
            <w:r w:rsidR="00BD7A6C" w:rsidRPr="00BD7A6C">
              <w:rPr>
                <w:noProof/>
                <w:webHidden/>
              </w:rPr>
              <w:fldChar w:fldCharType="end"/>
            </w:r>
          </w:hyperlink>
        </w:p>
        <w:p w14:paraId="7E2A5F49" w14:textId="3A947752" w:rsidR="00BD7A6C" w:rsidRPr="00BD7A6C" w:rsidRDefault="00000000" w:rsidP="00BD7A6C">
          <w:pPr>
            <w:pStyle w:val="TOC2"/>
            <w:rPr>
              <w:rFonts w:eastAsiaTheme="minorEastAsia"/>
              <w:noProof/>
              <w:kern w:val="2"/>
              <w:sz w:val="22"/>
              <w:szCs w:val="22"/>
              <w:lang w:val="en-US"/>
              <w14:ligatures w14:val="standardContextual"/>
            </w:rPr>
          </w:pPr>
          <w:hyperlink w:anchor="_Toc149224625" w:history="1">
            <w:r w:rsidR="00BD7A6C" w:rsidRPr="00562160">
              <w:rPr>
                <w:rStyle w:val="Hyperlink"/>
                <w:rFonts w:ascii="Trebuchet MS" w:hAnsi="Trebuchet MS"/>
                <w:noProof/>
              </w:rPr>
              <w:t>3.1.1 Cadrul legal al contractării proiectelor participanților direcți la PIIEC</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_Toc149224625 \h </w:instrText>
            </w:r>
            <w:r w:rsidR="00BD7A6C" w:rsidRPr="00BD7A6C">
              <w:rPr>
                <w:noProof/>
                <w:webHidden/>
              </w:rPr>
            </w:r>
            <w:r w:rsidR="00BD7A6C" w:rsidRPr="00BD7A6C">
              <w:rPr>
                <w:noProof/>
                <w:webHidden/>
              </w:rPr>
              <w:fldChar w:fldCharType="separate"/>
            </w:r>
            <w:r w:rsidR="00A33C42">
              <w:rPr>
                <w:noProof/>
                <w:webHidden/>
              </w:rPr>
              <w:t>8</w:t>
            </w:r>
            <w:r w:rsidR="00BD7A6C" w:rsidRPr="00BD7A6C">
              <w:rPr>
                <w:noProof/>
                <w:webHidden/>
              </w:rPr>
              <w:fldChar w:fldCharType="end"/>
            </w:r>
          </w:hyperlink>
        </w:p>
        <w:p w14:paraId="3A96748C" w14:textId="73E88A7A" w:rsidR="00BD7A6C" w:rsidRPr="00BD7A6C" w:rsidRDefault="00000000" w:rsidP="00BD7A6C">
          <w:pPr>
            <w:pStyle w:val="TOC2"/>
            <w:rPr>
              <w:rFonts w:eastAsiaTheme="minorEastAsia"/>
              <w:noProof/>
              <w:kern w:val="2"/>
              <w:sz w:val="22"/>
              <w:szCs w:val="22"/>
              <w:lang w:val="en-US"/>
              <w14:ligatures w14:val="standardContextual"/>
            </w:rPr>
          </w:pPr>
          <w:hyperlink w:anchor="_Toc149224626" w:history="1">
            <w:r w:rsidR="00BD7A6C" w:rsidRPr="00D61223">
              <w:rPr>
                <w:rStyle w:val="Hyperlink"/>
                <w:rFonts w:ascii="Trebuchet MS" w:hAnsi="Trebuchet MS"/>
                <w:noProof/>
              </w:rPr>
              <w:t>3.1.2 Depunerea și verificarea cererilor de finanțare și a anexelor</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_Toc149224626 \h </w:instrText>
            </w:r>
            <w:r w:rsidR="00BD7A6C" w:rsidRPr="00BD7A6C">
              <w:rPr>
                <w:noProof/>
                <w:webHidden/>
              </w:rPr>
            </w:r>
            <w:r w:rsidR="00BD7A6C" w:rsidRPr="00BD7A6C">
              <w:rPr>
                <w:noProof/>
                <w:webHidden/>
              </w:rPr>
              <w:fldChar w:fldCharType="separate"/>
            </w:r>
            <w:r w:rsidR="00A33C42">
              <w:rPr>
                <w:noProof/>
                <w:webHidden/>
              </w:rPr>
              <w:t>10</w:t>
            </w:r>
            <w:r w:rsidR="00BD7A6C" w:rsidRPr="00BD7A6C">
              <w:rPr>
                <w:noProof/>
                <w:webHidden/>
              </w:rPr>
              <w:fldChar w:fldCharType="end"/>
            </w:r>
          </w:hyperlink>
        </w:p>
        <w:p w14:paraId="3901F09B" w14:textId="6CB25FD3" w:rsidR="00BD7A6C" w:rsidRPr="00BD7A6C" w:rsidRDefault="00000000" w:rsidP="00BD7A6C">
          <w:pPr>
            <w:pStyle w:val="TOC2"/>
            <w:rPr>
              <w:rFonts w:eastAsiaTheme="minorEastAsia"/>
              <w:noProof/>
              <w:kern w:val="2"/>
              <w:sz w:val="22"/>
              <w:szCs w:val="22"/>
              <w:lang w:val="en-US"/>
              <w14:ligatures w14:val="standardContextual"/>
            </w:rPr>
          </w:pPr>
          <w:hyperlink w:anchor="_Toc149224627" w:history="1">
            <w:r w:rsidR="00BD7A6C" w:rsidRPr="00D61223">
              <w:rPr>
                <w:rStyle w:val="Hyperlink"/>
                <w:rFonts w:ascii="Trebuchet MS" w:hAnsi="Trebuchet MS"/>
                <w:noProof/>
              </w:rPr>
              <w:t>3.1.3 Eligibilitatea cheltuielilor</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_Toc149224627 \h </w:instrText>
            </w:r>
            <w:r w:rsidR="00BD7A6C" w:rsidRPr="00BD7A6C">
              <w:rPr>
                <w:noProof/>
                <w:webHidden/>
              </w:rPr>
            </w:r>
            <w:r w:rsidR="00BD7A6C" w:rsidRPr="00BD7A6C">
              <w:rPr>
                <w:noProof/>
                <w:webHidden/>
              </w:rPr>
              <w:fldChar w:fldCharType="separate"/>
            </w:r>
            <w:r w:rsidR="00A33C42">
              <w:rPr>
                <w:noProof/>
                <w:webHidden/>
              </w:rPr>
              <w:t>11</w:t>
            </w:r>
            <w:r w:rsidR="00BD7A6C" w:rsidRPr="00BD7A6C">
              <w:rPr>
                <w:noProof/>
                <w:webHidden/>
              </w:rPr>
              <w:fldChar w:fldCharType="end"/>
            </w:r>
          </w:hyperlink>
        </w:p>
        <w:p w14:paraId="1A784AAB" w14:textId="1420E057" w:rsidR="00BD7A6C" w:rsidRPr="00BD7A6C" w:rsidRDefault="00000000" w:rsidP="00BD7A6C">
          <w:pPr>
            <w:pStyle w:val="TOC2"/>
            <w:rPr>
              <w:rFonts w:eastAsiaTheme="minorEastAsia"/>
              <w:noProof/>
              <w:kern w:val="2"/>
              <w:sz w:val="22"/>
              <w:szCs w:val="22"/>
              <w:lang w:val="en-US"/>
              <w14:ligatures w14:val="standardContextual"/>
            </w:rPr>
          </w:pPr>
          <w:hyperlink w:anchor="_Toc149224628" w:history="1">
            <w:r w:rsidR="00BD7A6C" w:rsidRPr="00D61223">
              <w:rPr>
                <w:rStyle w:val="Hyperlink"/>
                <w:rFonts w:ascii="Trebuchet MS" w:hAnsi="Trebuchet MS"/>
                <w:noProof/>
              </w:rPr>
              <w:t>3.1.4 Principiul ”a nu prejudicia în mod semnificativ” - DNSH</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_Toc149224628 \h </w:instrText>
            </w:r>
            <w:r w:rsidR="00BD7A6C" w:rsidRPr="00BD7A6C">
              <w:rPr>
                <w:noProof/>
                <w:webHidden/>
              </w:rPr>
            </w:r>
            <w:r w:rsidR="00BD7A6C" w:rsidRPr="00BD7A6C">
              <w:rPr>
                <w:noProof/>
                <w:webHidden/>
              </w:rPr>
              <w:fldChar w:fldCharType="separate"/>
            </w:r>
            <w:r w:rsidR="00A33C42">
              <w:rPr>
                <w:noProof/>
                <w:webHidden/>
              </w:rPr>
              <w:t>12</w:t>
            </w:r>
            <w:r w:rsidR="00BD7A6C" w:rsidRPr="00BD7A6C">
              <w:rPr>
                <w:noProof/>
                <w:webHidden/>
              </w:rPr>
              <w:fldChar w:fldCharType="end"/>
            </w:r>
          </w:hyperlink>
        </w:p>
        <w:p w14:paraId="13D54C3A" w14:textId="7BD4FBB3" w:rsidR="00BD7A6C" w:rsidRPr="00BD7A6C" w:rsidRDefault="00000000" w:rsidP="00BD7A6C">
          <w:pPr>
            <w:pStyle w:val="TOC2"/>
            <w:rPr>
              <w:rFonts w:eastAsiaTheme="minorEastAsia"/>
              <w:noProof/>
              <w:kern w:val="2"/>
              <w:sz w:val="22"/>
              <w:szCs w:val="22"/>
              <w:lang w:val="en-US"/>
              <w14:ligatures w14:val="standardContextual"/>
            </w:rPr>
          </w:pPr>
          <w:hyperlink w:anchor="_Toc149224629" w:history="1">
            <w:r w:rsidR="00BD7A6C" w:rsidRPr="00D61223">
              <w:rPr>
                <w:rStyle w:val="Hyperlink"/>
                <w:rFonts w:ascii="Trebuchet MS" w:hAnsi="Trebuchet MS"/>
                <w:noProof/>
              </w:rPr>
              <w:t>3.1.5 Evitarea conflictului de interese și a dublei finanțări</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_Toc149224629 \h </w:instrText>
            </w:r>
            <w:r w:rsidR="00BD7A6C" w:rsidRPr="00BD7A6C">
              <w:rPr>
                <w:noProof/>
                <w:webHidden/>
              </w:rPr>
            </w:r>
            <w:r w:rsidR="00BD7A6C" w:rsidRPr="00BD7A6C">
              <w:rPr>
                <w:noProof/>
                <w:webHidden/>
              </w:rPr>
              <w:fldChar w:fldCharType="separate"/>
            </w:r>
            <w:r w:rsidR="00A33C42">
              <w:rPr>
                <w:noProof/>
                <w:webHidden/>
              </w:rPr>
              <w:t>13</w:t>
            </w:r>
            <w:r w:rsidR="00BD7A6C" w:rsidRPr="00BD7A6C">
              <w:rPr>
                <w:noProof/>
                <w:webHidden/>
              </w:rPr>
              <w:fldChar w:fldCharType="end"/>
            </w:r>
          </w:hyperlink>
        </w:p>
        <w:p w14:paraId="78DA1932" w14:textId="1C08DE65" w:rsidR="00BD7A6C" w:rsidRPr="00BD7A6C" w:rsidRDefault="00000000" w:rsidP="00BD7A6C">
          <w:pPr>
            <w:pStyle w:val="TOC2"/>
            <w:rPr>
              <w:rFonts w:eastAsiaTheme="minorEastAsia"/>
              <w:noProof/>
              <w:kern w:val="2"/>
              <w:sz w:val="22"/>
              <w:szCs w:val="22"/>
              <w:lang w:val="en-US"/>
              <w14:ligatures w14:val="standardContextual"/>
            </w:rPr>
          </w:pPr>
          <w:hyperlink w:anchor="_Toc149224630" w:history="1">
            <w:r w:rsidR="00BD7A6C" w:rsidRPr="00D61223">
              <w:rPr>
                <w:rStyle w:val="Hyperlink"/>
                <w:rFonts w:ascii="Trebuchet MS" w:hAnsi="Trebuchet MS"/>
                <w:noProof/>
              </w:rPr>
              <w:t>3.1.6 Asigurarea vizibilității fondurilor din partea Uniunii Europene</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_Toc149224630 \h </w:instrText>
            </w:r>
            <w:r w:rsidR="00BD7A6C" w:rsidRPr="00BD7A6C">
              <w:rPr>
                <w:noProof/>
                <w:webHidden/>
              </w:rPr>
            </w:r>
            <w:r w:rsidR="00BD7A6C" w:rsidRPr="00BD7A6C">
              <w:rPr>
                <w:noProof/>
                <w:webHidden/>
              </w:rPr>
              <w:fldChar w:fldCharType="separate"/>
            </w:r>
            <w:r w:rsidR="00A33C42">
              <w:rPr>
                <w:noProof/>
                <w:webHidden/>
              </w:rPr>
              <w:t>14</w:t>
            </w:r>
            <w:r w:rsidR="00BD7A6C" w:rsidRPr="00BD7A6C">
              <w:rPr>
                <w:noProof/>
                <w:webHidden/>
              </w:rPr>
              <w:fldChar w:fldCharType="end"/>
            </w:r>
          </w:hyperlink>
        </w:p>
        <w:p w14:paraId="620581FB" w14:textId="12131618"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1" w:history="1">
            <w:r w:rsidR="00BD7A6C" w:rsidRPr="00D61223">
              <w:rPr>
                <w:rStyle w:val="Hyperlink"/>
                <w:rFonts w:ascii="Trebuchet MS" w:hAnsi="Trebuchet MS"/>
                <w:noProof/>
              </w:rPr>
              <w:t>3.2 Aprobarea proiectelor</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_Toc149224631 \h </w:instrText>
            </w:r>
            <w:r w:rsidR="00BD7A6C" w:rsidRPr="00BD7A6C">
              <w:rPr>
                <w:noProof/>
                <w:webHidden/>
              </w:rPr>
            </w:r>
            <w:r w:rsidR="00BD7A6C" w:rsidRPr="00BD7A6C">
              <w:rPr>
                <w:noProof/>
                <w:webHidden/>
              </w:rPr>
              <w:fldChar w:fldCharType="separate"/>
            </w:r>
            <w:r w:rsidR="00A33C42">
              <w:rPr>
                <w:noProof/>
                <w:webHidden/>
              </w:rPr>
              <w:t>14</w:t>
            </w:r>
            <w:r w:rsidR="00BD7A6C" w:rsidRPr="00BD7A6C">
              <w:rPr>
                <w:noProof/>
                <w:webHidden/>
              </w:rPr>
              <w:fldChar w:fldCharType="end"/>
            </w:r>
          </w:hyperlink>
        </w:p>
        <w:p w14:paraId="08586CE7" w14:textId="014354B0"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2" w:history="1">
            <w:r w:rsidR="00BD7A6C" w:rsidRPr="00D61223">
              <w:rPr>
                <w:rStyle w:val="Hyperlink"/>
                <w:rFonts w:ascii="Trebuchet MS" w:hAnsi="Trebuchet MS"/>
                <w:noProof/>
              </w:rPr>
              <w:t>3.3 Depunerea contestațiilor</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_Toc149224632 \h </w:instrText>
            </w:r>
            <w:r w:rsidR="00BD7A6C" w:rsidRPr="00BD7A6C">
              <w:rPr>
                <w:noProof/>
                <w:webHidden/>
              </w:rPr>
            </w:r>
            <w:r w:rsidR="00BD7A6C" w:rsidRPr="00BD7A6C">
              <w:rPr>
                <w:noProof/>
                <w:webHidden/>
              </w:rPr>
              <w:fldChar w:fldCharType="separate"/>
            </w:r>
            <w:r w:rsidR="00A33C42">
              <w:rPr>
                <w:noProof/>
                <w:webHidden/>
              </w:rPr>
              <w:t>15</w:t>
            </w:r>
            <w:r w:rsidR="00BD7A6C" w:rsidRPr="00BD7A6C">
              <w:rPr>
                <w:noProof/>
                <w:webHidden/>
              </w:rPr>
              <w:fldChar w:fldCharType="end"/>
            </w:r>
          </w:hyperlink>
        </w:p>
        <w:p w14:paraId="435690EA" w14:textId="68B20A78"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3" w:history="1">
            <w:r w:rsidR="00BD7A6C" w:rsidRPr="00D61223">
              <w:rPr>
                <w:rStyle w:val="Hyperlink"/>
                <w:rFonts w:ascii="Trebuchet MS" w:hAnsi="Trebuchet MS"/>
                <w:noProof/>
              </w:rPr>
              <w:t>3.4  Depunerea documentelor pentru contractare</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_Toc149224633 \h </w:instrText>
            </w:r>
            <w:r w:rsidR="00BD7A6C" w:rsidRPr="00BD7A6C">
              <w:rPr>
                <w:noProof/>
                <w:webHidden/>
              </w:rPr>
            </w:r>
            <w:r w:rsidR="00BD7A6C" w:rsidRPr="00BD7A6C">
              <w:rPr>
                <w:noProof/>
                <w:webHidden/>
              </w:rPr>
              <w:fldChar w:fldCharType="separate"/>
            </w:r>
            <w:r w:rsidR="00A33C42">
              <w:rPr>
                <w:noProof/>
                <w:webHidden/>
              </w:rPr>
              <w:t>16</w:t>
            </w:r>
            <w:r w:rsidR="00BD7A6C" w:rsidRPr="00BD7A6C">
              <w:rPr>
                <w:noProof/>
                <w:webHidden/>
              </w:rPr>
              <w:fldChar w:fldCharType="end"/>
            </w:r>
          </w:hyperlink>
        </w:p>
        <w:p w14:paraId="6B024748" w14:textId="2736EB2D"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4" w:history="1">
            <w:r w:rsidR="00BD7A6C" w:rsidRPr="00D61223">
              <w:rPr>
                <w:rStyle w:val="Hyperlink"/>
                <w:rFonts w:ascii="Trebuchet MS" w:hAnsi="Trebuchet MS"/>
                <w:noProof/>
              </w:rPr>
              <w:t>3.5 Semnarea contractului de finanțare</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_Toc149224634 \h </w:instrText>
            </w:r>
            <w:r w:rsidR="00BD7A6C" w:rsidRPr="00BD7A6C">
              <w:rPr>
                <w:noProof/>
                <w:webHidden/>
              </w:rPr>
            </w:r>
            <w:r w:rsidR="00BD7A6C" w:rsidRPr="00BD7A6C">
              <w:rPr>
                <w:noProof/>
                <w:webHidden/>
              </w:rPr>
              <w:fldChar w:fldCharType="separate"/>
            </w:r>
            <w:r w:rsidR="00A33C42">
              <w:rPr>
                <w:noProof/>
                <w:webHidden/>
              </w:rPr>
              <w:t>17</w:t>
            </w:r>
            <w:r w:rsidR="00BD7A6C" w:rsidRPr="00BD7A6C">
              <w:rPr>
                <w:noProof/>
                <w:webHidden/>
              </w:rPr>
              <w:fldChar w:fldCharType="end"/>
            </w:r>
          </w:hyperlink>
        </w:p>
        <w:p w14:paraId="51759309" w14:textId="0F149FBC"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5" w:history="1">
            <w:r w:rsidR="00BD7A6C" w:rsidRPr="00D61223">
              <w:rPr>
                <w:rStyle w:val="Hyperlink"/>
                <w:rFonts w:ascii="Trebuchet MS" w:eastAsiaTheme="majorEastAsia" w:hAnsi="Trebuchet MS" w:cstheme="majorBidi"/>
                <w:noProof/>
              </w:rPr>
              <w:t>3.6 Implementarea contractelor de finanțare; Sustenabilitatea proiectului</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_Toc149224635 \h </w:instrText>
            </w:r>
            <w:r w:rsidR="00BD7A6C" w:rsidRPr="00BD7A6C">
              <w:rPr>
                <w:noProof/>
                <w:webHidden/>
              </w:rPr>
            </w:r>
            <w:r w:rsidR="00BD7A6C" w:rsidRPr="00BD7A6C">
              <w:rPr>
                <w:noProof/>
                <w:webHidden/>
              </w:rPr>
              <w:fldChar w:fldCharType="separate"/>
            </w:r>
            <w:r w:rsidR="00A33C42">
              <w:rPr>
                <w:noProof/>
                <w:webHidden/>
              </w:rPr>
              <w:t>17</w:t>
            </w:r>
            <w:r w:rsidR="00BD7A6C" w:rsidRPr="00BD7A6C">
              <w:rPr>
                <w:noProof/>
                <w:webHidden/>
              </w:rPr>
              <w:fldChar w:fldCharType="end"/>
            </w:r>
          </w:hyperlink>
        </w:p>
        <w:p w14:paraId="2696A01B" w14:textId="48407B64"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6" w:history="1">
            <w:r w:rsidR="00BD7A6C" w:rsidRPr="00D61223">
              <w:rPr>
                <w:rStyle w:val="Hyperlink"/>
                <w:rFonts w:ascii="Trebuchet MS" w:eastAsiaTheme="majorEastAsia" w:hAnsi="Trebuchet MS" w:cstheme="majorBidi"/>
                <w:noProof/>
              </w:rPr>
              <w:t>3.6.1 Monitorizarea tehnică</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_Toc149224636 \h </w:instrText>
            </w:r>
            <w:r w:rsidR="00BD7A6C" w:rsidRPr="00BD7A6C">
              <w:rPr>
                <w:noProof/>
                <w:webHidden/>
              </w:rPr>
            </w:r>
            <w:r w:rsidR="00BD7A6C" w:rsidRPr="00BD7A6C">
              <w:rPr>
                <w:noProof/>
                <w:webHidden/>
              </w:rPr>
              <w:fldChar w:fldCharType="separate"/>
            </w:r>
            <w:r w:rsidR="00A33C42">
              <w:rPr>
                <w:noProof/>
                <w:webHidden/>
              </w:rPr>
              <w:t>18</w:t>
            </w:r>
            <w:r w:rsidR="00BD7A6C" w:rsidRPr="00BD7A6C">
              <w:rPr>
                <w:noProof/>
                <w:webHidden/>
              </w:rPr>
              <w:fldChar w:fldCharType="end"/>
            </w:r>
          </w:hyperlink>
        </w:p>
        <w:p w14:paraId="7B88EB7F" w14:textId="2540A0D4"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7" w:history="1">
            <w:r w:rsidR="00BD7A6C" w:rsidRPr="00D61223">
              <w:rPr>
                <w:rStyle w:val="Hyperlink"/>
                <w:rFonts w:ascii="Trebuchet MS" w:eastAsiaTheme="majorEastAsia" w:hAnsi="Trebuchet MS" w:cstheme="majorBidi"/>
                <w:noProof/>
              </w:rPr>
              <w:t>3.6.2 Monitorizarea financiară</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_Toc149224637 \h </w:instrText>
            </w:r>
            <w:r w:rsidR="00BD7A6C" w:rsidRPr="00BD7A6C">
              <w:rPr>
                <w:noProof/>
                <w:webHidden/>
              </w:rPr>
            </w:r>
            <w:r w:rsidR="00BD7A6C" w:rsidRPr="00BD7A6C">
              <w:rPr>
                <w:noProof/>
                <w:webHidden/>
              </w:rPr>
              <w:fldChar w:fldCharType="separate"/>
            </w:r>
            <w:r w:rsidR="00A33C42">
              <w:rPr>
                <w:noProof/>
                <w:webHidden/>
              </w:rPr>
              <w:t>18</w:t>
            </w:r>
            <w:r w:rsidR="00BD7A6C" w:rsidRPr="00BD7A6C">
              <w:rPr>
                <w:noProof/>
                <w:webHidden/>
              </w:rPr>
              <w:fldChar w:fldCharType="end"/>
            </w:r>
          </w:hyperlink>
        </w:p>
        <w:p w14:paraId="4EBF501C" w14:textId="3B66A677" w:rsidR="00BD7A6C" w:rsidRPr="00BD7A6C" w:rsidRDefault="00000000">
          <w:pPr>
            <w:pStyle w:val="TOC3"/>
            <w:tabs>
              <w:tab w:val="right" w:leader="dot" w:pos="10526"/>
            </w:tabs>
            <w:rPr>
              <w:rFonts w:eastAsiaTheme="minorEastAsia"/>
              <w:noProof/>
              <w:kern w:val="2"/>
              <w:sz w:val="22"/>
              <w:szCs w:val="22"/>
              <w:lang w:val="en-US"/>
              <w14:ligatures w14:val="standardContextual"/>
            </w:rPr>
          </w:pPr>
          <w:hyperlink w:anchor="_Toc149224638" w:history="1">
            <w:r w:rsidR="00BD7A6C" w:rsidRPr="00D61223">
              <w:rPr>
                <w:rStyle w:val="Hyperlink"/>
                <w:rFonts w:ascii="Trebuchet MS" w:eastAsiaTheme="majorEastAsia" w:hAnsi="Trebuchet MS" w:cstheme="majorBidi"/>
                <w:noProof/>
              </w:rPr>
              <w:t>3.6.3 Transferul sumelor</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_Toc149224638 \h </w:instrText>
            </w:r>
            <w:r w:rsidR="00BD7A6C" w:rsidRPr="00BD7A6C">
              <w:rPr>
                <w:noProof/>
                <w:webHidden/>
              </w:rPr>
            </w:r>
            <w:r w:rsidR="00BD7A6C" w:rsidRPr="00BD7A6C">
              <w:rPr>
                <w:noProof/>
                <w:webHidden/>
              </w:rPr>
              <w:fldChar w:fldCharType="separate"/>
            </w:r>
            <w:r w:rsidR="00A33C42">
              <w:rPr>
                <w:noProof/>
                <w:webHidden/>
              </w:rPr>
              <w:t>20</w:t>
            </w:r>
            <w:r w:rsidR="00BD7A6C" w:rsidRPr="00BD7A6C">
              <w:rPr>
                <w:noProof/>
                <w:webHidden/>
              </w:rPr>
              <w:fldChar w:fldCharType="end"/>
            </w:r>
          </w:hyperlink>
        </w:p>
        <w:p w14:paraId="1C712E72" w14:textId="6C0D0353" w:rsidR="00BD7A6C" w:rsidRPr="00BD7A6C" w:rsidRDefault="00000000" w:rsidP="00BD7A6C">
          <w:pPr>
            <w:pStyle w:val="TOC2"/>
            <w:rPr>
              <w:rFonts w:eastAsiaTheme="minorEastAsia"/>
              <w:noProof/>
              <w:kern w:val="2"/>
              <w:sz w:val="22"/>
              <w:szCs w:val="22"/>
              <w:lang w:val="en-US"/>
              <w14:ligatures w14:val="standardContextual"/>
            </w:rPr>
          </w:pPr>
          <w:hyperlink w:anchor="_Toc149224639" w:history="1">
            <w:r w:rsidR="00BD7A6C" w:rsidRPr="00D61223">
              <w:rPr>
                <w:rStyle w:val="Hyperlink"/>
                <w:rFonts w:ascii="Trebuchet MS" w:hAnsi="Trebuchet MS"/>
                <w:noProof/>
              </w:rPr>
              <w:t>4.  Mecanisme de gestionare a riscurilor de implementare</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_Toc149224639 \h </w:instrText>
            </w:r>
            <w:r w:rsidR="00BD7A6C" w:rsidRPr="00BD7A6C">
              <w:rPr>
                <w:noProof/>
                <w:webHidden/>
              </w:rPr>
            </w:r>
            <w:r w:rsidR="00BD7A6C" w:rsidRPr="00BD7A6C">
              <w:rPr>
                <w:noProof/>
                <w:webHidden/>
              </w:rPr>
              <w:fldChar w:fldCharType="separate"/>
            </w:r>
            <w:r w:rsidR="00A33C42">
              <w:rPr>
                <w:noProof/>
                <w:webHidden/>
              </w:rPr>
              <w:t>20</w:t>
            </w:r>
            <w:r w:rsidR="00BD7A6C" w:rsidRPr="00BD7A6C">
              <w:rPr>
                <w:noProof/>
                <w:webHidden/>
              </w:rPr>
              <w:fldChar w:fldCharType="end"/>
            </w:r>
          </w:hyperlink>
        </w:p>
        <w:p w14:paraId="3D0F90F3" w14:textId="3B908760" w:rsidR="00BD7A6C" w:rsidRPr="00BD7A6C" w:rsidRDefault="00000000" w:rsidP="00BD7A6C">
          <w:pPr>
            <w:pStyle w:val="TOC1"/>
            <w:rPr>
              <w:rFonts w:eastAsiaTheme="minorEastAsia"/>
              <w:noProof/>
              <w:kern w:val="2"/>
              <w:sz w:val="22"/>
              <w:szCs w:val="22"/>
              <w:lang w:val="en-US"/>
              <w14:ligatures w14:val="standardContextual"/>
            </w:rPr>
          </w:pPr>
          <w:hyperlink w:anchor="_Toc149224640" w:history="1">
            <w:r w:rsidR="00BD7A6C" w:rsidRPr="00D61223">
              <w:rPr>
                <w:rStyle w:val="Hyperlink"/>
                <w:rFonts w:ascii="Trebuchet MS" w:hAnsi="Trebuchet MS"/>
                <w:noProof/>
              </w:rPr>
              <w:t>5. Contribuția investiției la obiectivele asumate pentru realizarea indicatorilor din domeniul climei și din domeniul digital</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_Toc149224640 \h </w:instrText>
            </w:r>
            <w:r w:rsidR="00BD7A6C" w:rsidRPr="00BD7A6C">
              <w:rPr>
                <w:noProof/>
                <w:webHidden/>
              </w:rPr>
            </w:r>
            <w:r w:rsidR="00BD7A6C" w:rsidRPr="00BD7A6C">
              <w:rPr>
                <w:noProof/>
                <w:webHidden/>
              </w:rPr>
              <w:fldChar w:fldCharType="separate"/>
            </w:r>
            <w:r w:rsidR="00A33C42">
              <w:rPr>
                <w:noProof/>
                <w:webHidden/>
              </w:rPr>
              <w:t>22</w:t>
            </w:r>
            <w:r w:rsidR="00BD7A6C" w:rsidRPr="00BD7A6C">
              <w:rPr>
                <w:noProof/>
                <w:webHidden/>
              </w:rPr>
              <w:fldChar w:fldCharType="end"/>
            </w:r>
          </w:hyperlink>
        </w:p>
        <w:p w14:paraId="19388356" w14:textId="2E4E1DD9" w:rsidR="00BD7A6C" w:rsidRPr="00BD7A6C" w:rsidRDefault="00000000" w:rsidP="00BD7A6C">
          <w:pPr>
            <w:pStyle w:val="TOC1"/>
            <w:rPr>
              <w:rFonts w:eastAsiaTheme="minorEastAsia"/>
              <w:noProof/>
              <w:kern w:val="2"/>
              <w:sz w:val="22"/>
              <w:szCs w:val="22"/>
              <w:lang w:val="en-US"/>
              <w14:ligatures w14:val="standardContextual"/>
            </w:rPr>
          </w:pPr>
          <w:hyperlink w:anchor="_Toc149224641" w:history="1">
            <w:r w:rsidR="00BD7A6C" w:rsidRPr="00D61223">
              <w:rPr>
                <w:rStyle w:val="Hyperlink"/>
                <w:rFonts w:ascii="Trebuchet MS" w:hAnsi="Trebuchet MS"/>
                <w:noProof/>
              </w:rPr>
              <w:t>6. Lista anexe</w:t>
            </w:r>
            <w:r w:rsidR="00BD7A6C" w:rsidRPr="00BD7A6C">
              <w:rPr>
                <w:noProof/>
                <w:webHidden/>
              </w:rPr>
              <w:tab/>
            </w:r>
            <w:r w:rsidR="00BD7A6C" w:rsidRPr="00BD7A6C">
              <w:rPr>
                <w:noProof/>
                <w:webHidden/>
              </w:rPr>
              <w:fldChar w:fldCharType="begin"/>
            </w:r>
            <w:r w:rsidR="00BD7A6C" w:rsidRPr="00BD7A6C">
              <w:rPr>
                <w:noProof/>
                <w:webHidden/>
              </w:rPr>
              <w:instrText xml:space="preserve"> PAGEREF _Toc149224641 \h </w:instrText>
            </w:r>
            <w:r w:rsidR="00BD7A6C" w:rsidRPr="00BD7A6C">
              <w:rPr>
                <w:noProof/>
                <w:webHidden/>
              </w:rPr>
            </w:r>
            <w:r w:rsidR="00BD7A6C" w:rsidRPr="00BD7A6C">
              <w:rPr>
                <w:noProof/>
                <w:webHidden/>
              </w:rPr>
              <w:fldChar w:fldCharType="separate"/>
            </w:r>
            <w:r w:rsidR="00A33C42">
              <w:rPr>
                <w:noProof/>
                <w:webHidden/>
              </w:rPr>
              <w:t>22</w:t>
            </w:r>
            <w:r w:rsidR="00BD7A6C" w:rsidRPr="00BD7A6C">
              <w:rPr>
                <w:noProof/>
                <w:webHidden/>
              </w:rPr>
              <w:fldChar w:fldCharType="end"/>
            </w:r>
          </w:hyperlink>
        </w:p>
        <w:p w14:paraId="072CCD35" w14:textId="7DA1DFAD" w:rsidR="000654CE" w:rsidRDefault="00000000" w:rsidP="00BD7A6C">
          <w:pPr>
            <w:pStyle w:val="TOC1"/>
          </w:pPr>
          <w:r>
            <w:rPr>
              <w:rStyle w:val="IndexLink"/>
            </w:rPr>
            <w:fldChar w:fldCharType="end"/>
          </w:r>
        </w:p>
      </w:sdtContent>
    </w:sdt>
    <w:p w14:paraId="7B8907EE" w14:textId="77777777" w:rsidR="000654CE" w:rsidRDefault="000654CE">
      <w:pPr>
        <w:spacing w:after="120" w:line="276" w:lineRule="auto"/>
        <w:ind w:left="990"/>
        <w:jc w:val="both"/>
        <w:rPr>
          <w:rFonts w:ascii="Trebuchet MS" w:hAnsi="Trebuchet MS"/>
          <w:iCs/>
          <w:sz w:val="22"/>
          <w:szCs w:val="22"/>
        </w:rPr>
      </w:pPr>
    </w:p>
    <w:p w14:paraId="53022CD2" w14:textId="77777777" w:rsidR="000654CE" w:rsidRDefault="000654CE">
      <w:pPr>
        <w:spacing w:after="120" w:line="276" w:lineRule="auto"/>
        <w:ind w:left="990"/>
        <w:jc w:val="both"/>
        <w:rPr>
          <w:rFonts w:ascii="Trebuchet MS" w:hAnsi="Trebuchet MS"/>
          <w:iCs/>
          <w:sz w:val="22"/>
          <w:szCs w:val="22"/>
          <w:lang w:val="en-US"/>
        </w:rPr>
      </w:pPr>
    </w:p>
    <w:p w14:paraId="157E5BC5" w14:textId="77777777" w:rsidR="000654CE" w:rsidRDefault="000654CE">
      <w:pPr>
        <w:spacing w:after="120" w:line="276" w:lineRule="auto"/>
        <w:ind w:left="990"/>
        <w:jc w:val="both"/>
        <w:rPr>
          <w:rFonts w:ascii="Trebuchet MS" w:hAnsi="Trebuchet MS"/>
          <w:iCs/>
          <w:sz w:val="22"/>
          <w:szCs w:val="22"/>
        </w:rPr>
      </w:pPr>
    </w:p>
    <w:p w14:paraId="2B934220" w14:textId="77777777" w:rsidR="000654CE" w:rsidRDefault="00000000">
      <w:pPr>
        <w:tabs>
          <w:tab w:val="left" w:pos="4725"/>
        </w:tabs>
        <w:spacing w:after="120" w:line="276" w:lineRule="auto"/>
        <w:ind w:left="990"/>
        <w:jc w:val="both"/>
        <w:rPr>
          <w:rFonts w:ascii="Trebuchet MS" w:hAnsi="Trebuchet MS"/>
          <w:iCs/>
          <w:sz w:val="22"/>
          <w:szCs w:val="22"/>
        </w:rPr>
      </w:pPr>
      <w:r>
        <w:rPr>
          <w:rFonts w:ascii="Trebuchet MS" w:hAnsi="Trebuchet MS"/>
          <w:iCs/>
          <w:sz w:val="22"/>
          <w:szCs w:val="22"/>
        </w:rPr>
        <w:tab/>
      </w:r>
    </w:p>
    <w:p w14:paraId="4B5C89E2" w14:textId="77777777" w:rsidR="000654CE" w:rsidRDefault="000654CE">
      <w:pPr>
        <w:spacing w:after="120" w:line="276" w:lineRule="auto"/>
        <w:ind w:left="990"/>
        <w:jc w:val="both"/>
        <w:rPr>
          <w:rFonts w:ascii="Trebuchet MS" w:hAnsi="Trebuchet MS"/>
          <w:iCs/>
          <w:sz w:val="22"/>
          <w:szCs w:val="22"/>
        </w:rPr>
      </w:pPr>
    </w:p>
    <w:p w14:paraId="38228F26" w14:textId="77777777" w:rsidR="000654CE" w:rsidRDefault="000654CE">
      <w:pPr>
        <w:spacing w:after="120" w:line="276" w:lineRule="auto"/>
        <w:ind w:left="990"/>
        <w:jc w:val="both"/>
        <w:rPr>
          <w:rFonts w:ascii="Trebuchet MS" w:hAnsi="Trebuchet MS"/>
          <w:iCs/>
          <w:sz w:val="22"/>
          <w:szCs w:val="22"/>
        </w:rPr>
      </w:pPr>
    </w:p>
    <w:p w14:paraId="20DA7BCC" w14:textId="77777777" w:rsidR="000654CE" w:rsidRDefault="000654CE">
      <w:pPr>
        <w:spacing w:before="120" w:after="120" w:line="276" w:lineRule="auto"/>
        <w:ind w:left="990"/>
        <w:jc w:val="both"/>
        <w:rPr>
          <w:rFonts w:ascii="Trebuchet MS" w:hAnsi="Trebuchet MS"/>
          <w:iCs/>
          <w:sz w:val="22"/>
          <w:szCs w:val="22"/>
        </w:rPr>
      </w:pPr>
    </w:p>
    <w:p w14:paraId="78CC1686" w14:textId="77777777" w:rsidR="000654CE" w:rsidRDefault="000654CE">
      <w:pPr>
        <w:spacing w:after="120" w:line="276" w:lineRule="auto"/>
        <w:ind w:left="990"/>
        <w:jc w:val="both"/>
        <w:rPr>
          <w:rFonts w:ascii="Trebuchet MS" w:hAnsi="Trebuchet MS"/>
          <w:iCs/>
          <w:sz w:val="22"/>
          <w:szCs w:val="22"/>
        </w:rPr>
      </w:pPr>
    </w:p>
    <w:p w14:paraId="48891594" w14:textId="77777777" w:rsidR="000654CE" w:rsidRDefault="000654CE">
      <w:pPr>
        <w:spacing w:after="120" w:line="276" w:lineRule="auto"/>
        <w:jc w:val="both"/>
        <w:rPr>
          <w:rFonts w:ascii="Trebuchet MS" w:hAnsi="Trebuchet MS"/>
          <w:iCs/>
          <w:sz w:val="22"/>
          <w:szCs w:val="22"/>
        </w:rPr>
      </w:pPr>
    </w:p>
    <w:p w14:paraId="4E0DB531" w14:textId="77777777" w:rsidR="000654CE" w:rsidRDefault="000654CE">
      <w:pPr>
        <w:spacing w:after="120" w:line="276" w:lineRule="auto"/>
        <w:ind w:left="990"/>
        <w:jc w:val="both"/>
        <w:rPr>
          <w:rFonts w:ascii="Trebuchet MS" w:hAnsi="Trebuchet MS"/>
          <w:iCs/>
          <w:sz w:val="22"/>
          <w:szCs w:val="22"/>
        </w:rPr>
      </w:pPr>
    </w:p>
    <w:p w14:paraId="7EECFE40" w14:textId="77777777" w:rsidR="000654CE" w:rsidRDefault="00000000">
      <w:pPr>
        <w:spacing w:after="120" w:line="276" w:lineRule="auto"/>
        <w:ind w:left="990"/>
        <w:jc w:val="both"/>
        <w:rPr>
          <w:rFonts w:ascii="Trebuchet MS" w:hAnsi="Trebuchet MS"/>
          <w:b/>
          <w:iCs/>
          <w:sz w:val="22"/>
          <w:szCs w:val="22"/>
        </w:rPr>
      </w:pPr>
      <w:r>
        <w:rPr>
          <w:rFonts w:ascii="Trebuchet MS" w:hAnsi="Trebuchet MS"/>
          <w:b/>
          <w:iCs/>
          <w:sz w:val="22"/>
          <w:szCs w:val="22"/>
        </w:rPr>
        <w:t>ABREVIERI</w:t>
      </w:r>
    </w:p>
    <w:p w14:paraId="64E2DB34" w14:textId="77777777" w:rsidR="000654CE" w:rsidRDefault="00000000">
      <w:pPr>
        <w:spacing w:after="120" w:line="276" w:lineRule="auto"/>
        <w:ind w:left="990"/>
        <w:rPr>
          <w:rFonts w:ascii="Trebuchet MS" w:eastAsia="MS Mincho" w:hAnsi="Trebuchet MS" w:cs="Times New Roman"/>
          <w:b/>
          <w:i/>
          <w:sz w:val="22"/>
          <w:szCs w:val="22"/>
        </w:rPr>
      </w:pPr>
      <w:r>
        <w:rPr>
          <w:rFonts w:ascii="Trebuchet MS" w:hAnsi="Trebuchet MS"/>
          <w:sz w:val="22"/>
          <w:szCs w:val="22"/>
        </w:rPr>
        <w:t>C9 – Componenta 9 – Suport pentru sectorul privat, cercetare, dezvoltare, inovare</w:t>
      </w:r>
    </w:p>
    <w:p w14:paraId="6E0040C4" w14:textId="77777777" w:rsidR="000654CE" w:rsidRDefault="00000000">
      <w:pPr>
        <w:spacing w:after="120" w:line="276" w:lineRule="auto"/>
        <w:ind w:left="990"/>
        <w:rPr>
          <w:rFonts w:ascii="Trebuchet MS" w:eastAsia="MS Mincho" w:hAnsi="Trebuchet MS" w:cs="Times New Roman"/>
          <w:b/>
          <w:i/>
          <w:sz w:val="22"/>
          <w:szCs w:val="22"/>
        </w:rPr>
      </w:pPr>
      <w:r>
        <w:rPr>
          <w:rFonts w:ascii="Trebuchet MS" w:hAnsi="Trebuchet MS"/>
          <w:sz w:val="22"/>
          <w:szCs w:val="22"/>
        </w:rPr>
        <w:t>I4 – Investiția 4 – Proiecte transfrontaliere și multinaționale – Procesoare cu consum redus de energie și cipuri semiconductoare</w:t>
      </w:r>
      <w:r>
        <w:rPr>
          <w:rFonts w:ascii="Trebuchet MS" w:eastAsia="MS Mincho" w:hAnsi="Trebuchet MS" w:cs="Times New Roman"/>
          <w:b/>
          <w:i/>
          <w:sz w:val="22"/>
          <w:szCs w:val="22"/>
        </w:rPr>
        <w:t xml:space="preserve"> </w:t>
      </w:r>
    </w:p>
    <w:p w14:paraId="1AC1881B" w14:textId="77777777" w:rsidR="000654CE" w:rsidRDefault="00000000">
      <w:pPr>
        <w:spacing w:after="120" w:line="276" w:lineRule="auto"/>
        <w:ind w:left="990"/>
        <w:jc w:val="both"/>
        <w:rPr>
          <w:rFonts w:ascii="Trebuchet MS" w:hAnsi="Trebuchet MS"/>
          <w:sz w:val="22"/>
          <w:szCs w:val="22"/>
        </w:rPr>
      </w:pPr>
      <w:r>
        <w:rPr>
          <w:rFonts w:ascii="Trebuchet MS" w:hAnsi="Trebuchet MS"/>
          <w:sz w:val="22"/>
          <w:szCs w:val="22"/>
        </w:rPr>
        <w:t>CE - Comisia Europeană</w:t>
      </w:r>
    </w:p>
    <w:p w14:paraId="0D8F32AD" w14:textId="77777777" w:rsidR="000654CE" w:rsidRDefault="00000000">
      <w:pPr>
        <w:spacing w:after="120" w:line="276" w:lineRule="auto"/>
        <w:ind w:left="990"/>
        <w:jc w:val="both"/>
        <w:rPr>
          <w:rFonts w:ascii="Trebuchet MS" w:hAnsi="Trebuchet MS"/>
          <w:sz w:val="22"/>
          <w:szCs w:val="22"/>
        </w:rPr>
      </w:pPr>
      <w:r>
        <w:rPr>
          <w:rFonts w:ascii="Trebuchet MS" w:hAnsi="Trebuchet MS"/>
          <w:sz w:val="22"/>
          <w:szCs w:val="22"/>
        </w:rPr>
        <w:t xml:space="preserve">CID - Decizia de punere în aplicare a Consiliului din data de 03 noiembrie 2021 </w:t>
      </w:r>
    </w:p>
    <w:p w14:paraId="4997D989" w14:textId="77777777" w:rsidR="000654CE" w:rsidRDefault="00000000">
      <w:pPr>
        <w:spacing w:after="120" w:line="276" w:lineRule="auto"/>
        <w:ind w:left="990"/>
        <w:jc w:val="both"/>
        <w:rPr>
          <w:rFonts w:ascii="Trebuchet MS" w:hAnsi="Trebuchet MS"/>
          <w:iCs/>
          <w:sz w:val="22"/>
          <w:szCs w:val="22"/>
        </w:rPr>
      </w:pPr>
      <w:r>
        <w:rPr>
          <w:rFonts w:ascii="Trebuchet MS" w:hAnsi="Trebuchet MS"/>
          <w:sz w:val="22"/>
          <w:szCs w:val="22"/>
        </w:rPr>
        <w:t xml:space="preserve">DGIPNRRIF - Direcția Generală Implementare PNRR și Instrumente Financiare </w:t>
      </w:r>
    </w:p>
    <w:p w14:paraId="61812992" w14:textId="77777777" w:rsidR="000654CE" w:rsidRDefault="00000000">
      <w:pPr>
        <w:spacing w:after="120" w:line="276" w:lineRule="auto"/>
        <w:ind w:left="990"/>
        <w:jc w:val="both"/>
        <w:rPr>
          <w:rFonts w:ascii="Trebuchet MS" w:hAnsi="Trebuchet MS"/>
          <w:sz w:val="22"/>
          <w:szCs w:val="22"/>
        </w:rPr>
      </w:pPr>
      <w:r>
        <w:rPr>
          <w:rFonts w:ascii="Trebuchet MS" w:hAnsi="Trebuchet MS"/>
          <w:sz w:val="22"/>
          <w:szCs w:val="22"/>
        </w:rPr>
        <w:t xml:space="preserve">DNSH - do not significat harm - principiul „de a nu prejudicia în mod semnificativ”  </w:t>
      </w:r>
    </w:p>
    <w:p w14:paraId="6D80DF71" w14:textId="77777777" w:rsidR="0037251F" w:rsidRDefault="0037251F" w:rsidP="0037251F">
      <w:pPr>
        <w:spacing w:after="120" w:line="276" w:lineRule="auto"/>
        <w:ind w:left="990"/>
        <w:jc w:val="both"/>
        <w:rPr>
          <w:rFonts w:ascii="Trebuchet MS" w:hAnsi="Trebuchet MS"/>
          <w:iCs/>
          <w:sz w:val="22"/>
          <w:szCs w:val="22"/>
        </w:rPr>
      </w:pPr>
      <w:r>
        <w:rPr>
          <w:rFonts w:ascii="Trebuchet MS" w:hAnsi="Trebuchet MS"/>
          <w:sz w:val="22"/>
          <w:szCs w:val="22"/>
        </w:rPr>
        <w:t>MEAT – Ministerul Economiei, Antreprenoriatului și Turismului</w:t>
      </w:r>
    </w:p>
    <w:p w14:paraId="11E3081A" w14:textId="77777777" w:rsidR="0037251F" w:rsidRDefault="0037251F" w:rsidP="0037251F">
      <w:pPr>
        <w:spacing w:after="120" w:line="276" w:lineRule="auto"/>
        <w:ind w:left="990"/>
        <w:jc w:val="both"/>
        <w:rPr>
          <w:rFonts w:ascii="Trebuchet MS" w:hAnsi="Trebuchet MS"/>
          <w:sz w:val="22"/>
          <w:szCs w:val="22"/>
        </w:rPr>
      </w:pPr>
      <w:r>
        <w:rPr>
          <w:rFonts w:ascii="Trebuchet MS" w:hAnsi="Trebuchet MS"/>
          <w:sz w:val="22"/>
          <w:szCs w:val="22"/>
        </w:rPr>
        <w:t xml:space="preserve">MIPE – Ministerul Investițiilor și Proiectelor Europene </w:t>
      </w:r>
    </w:p>
    <w:p w14:paraId="35CD11B1" w14:textId="2E6DF256" w:rsidR="0037251F" w:rsidRPr="00306790" w:rsidRDefault="0037251F">
      <w:pPr>
        <w:spacing w:after="120" w:line="276" w:lineRule="auto"/>
        <w:ind w:left="990"/>
        <w:jc w:val="both"/>
        <w:rPr>
          <w:rFonts w:ascii="Trebuchet MS" w:hAnsi="Trebuchet MS"/>
          <w:sz w:val="22"/>
          <w:szCs w:val="22"/>
        </w:rPr>
      </w:pPr>
      <w:r w:rsidRPr="0037251F">
        <w:rPr>
          <w:rFonts w:ascii="Trebuchet MS" w:hAnsi="Trebuchet MS"/>
          <w:sz w:val="22"/>
          <w:szCs w:val="22"/>
        </w:rPr>
        <w:t>MPW</w:t>
      </w:r>
      <w:r>
        <w:rPr>
          <w:rFonts w:ascii="Trebuchet MS" w:hAnsi="Trebuchet MS"/>
          <w:sz w:val="22"/>
          <w:szCs w:val="22"/>
        </w:rPr>
        <w:t xml:space="preserve"> – </w:t>
      </w:r>
      <w:r w:rsidRPr="0037251F">
        <w:rPr>
          <w:rFonts w:ascii="Trebuchet MS" w:hAnsi="Trebuchet MS"/>
          <w:i/>
          <w:iCs/>
          <w:sz w:val="22"/>
          <w:szCs w:val="22"/>
        </w:rPr>
        <w:t>Multi project wafer</w:t>
      </w:r>
      <w:r w:rsidR="00306790">
        <w:rPr>
          <w:rFonts w:ascii="Trebuchet MS" w:hAnsi="Trebuchet MS"/>
          <w:sz w:val="22"/>
          <w:szCs w:val="22"/>
        </w:rPr>
        <w:t xml:space="preserve"> (placă multi proiect)</w:t>
      </w:r>
    </w:p>
    <w:p w14:paraId="3324A6D9" w14:textId="653177C8" w:rsidR="000654CE" w:rsidRDefault="00000000">
      <w:pPr>
        <w:spacing w:after="120" w:line="276" w:lineRule="auto"/>
        <w:ind w:left="990"/>
        <w:jc w:val="both"/>
        <w:rPr>
          <w:rFonts w:ascii="Trebuchet MS" w:hAnsi="Trebuchet MS"/>
          <w:iCs/>
          <w:sz w:val="22"/>
          <w:szCs w:val="22"/>
        </w:rPr>
      </w:pPr>
      <w:r>
        <w:rPr>
          <w:rFonts w:ascii="Trebuchet MS" w:hAnsi="Trebuchet MS"/>
          <w:sz w:val="22"/>
          <w:szCs w:val="22"/>
        </w:rPr>
        <w:t xml:space="preserve">MRR - Mecanismul de Redresare și Reziliență </w:t>
      </w:r>
    </w:p>
    <w:p w14:paraId="77F845D9" w14:textId="77777777" w:rsidR="000654CE" w:rsidRDefault="00000000">
      <w:pPr>
        <w:spacing w:after="120" w:line="276" w:lineRule="auto"/>
        <w:ind w:left="990"/>
        <w:jc w:val="both"/>
        <w:rPr>
          <w:rFonts w:ascii="Trebuchet MS" w:hAnsi="Trebuchet MS"/>
          <w:sz w:val="22"/>
          <w:szCs w:val="22"/>
        </w:rPr>
      </w:pPr>
      <w:bookmarkStart w:id="2" w:name="_Hlk142403778"/>
      <w:r>
        <w:rPr>
          <w:rFonts w:ascii="Trebuchet MS" w:hAnsi="Trebuchet MS"/>
          <w:sz w:val="22"/>
          <w:szCs w:val="22"/>
        </w:rPr>
        <w:t>PIIEC</w:t>
      </w:r>
      <w:bookmarkEnd w:id="2"/>
      <w:r>
        <w:rPr>
          <w:rFonts w:ascii="Trebuchet MS" w:hAnsi="Trebuchet MS"/>
          <w:sz w:val="22"/>
          <w:szCs w:val="22"/>
        </w:rPr>
        <w:t xml:space="preserve"> - proiect important de interes european comun</w:t>
      </w:r>
    </w:p>
    <w:p w14:paraId="0A9C99B6" w14:textId="77777777" w:rsidR="000654CE" w:rsidRDefault="00000000">
      <w:pPr>
        <w:spacing w:after="120" w:line="276" w:lineRule="auto"/>
        <w:ind w:left="990"/>
        <w:jc w:val="both"/>
        <w:rPr>
          <w:rFonts w:ascii="Trebuchet MS" w:hAnsi="Trebuchet MS"/>
          <w:sz w:val="22"/>
          <w:szCs w:val="22"/>
        </w:rPr>
      </w:pPr>
      <w:r>
        <w:rPr>
          <w:rFonts w:ascii="Trebuchet MS" w:hAnsi="Trebuchet MS"/>
          <w:sz w:val="22"/>
          <w:szCs w:val="22"/>
        </w:rPr>
        <w:t>PD – participant direct la PIIEC</w:t>
      </w:r>
    </w:p>
    <w:p w14:paraId="34C1829B" w14:textId="77777777" w:rsidR="000654CE" w:rsidRDefault="00000000">
      <w:pPr>
        <w:spacing w:after="120" w:line="276" w:lineRule="auto"/>
        <w:ind w:left="990"/>
        <w:jc w:val="both"/>
        <w:rPr>
          <w:rFonts w:ascii="Trebuchet MS" w:hAnsi="Trebuchet MS"/>
          <w:iCs/>
          <w:sz w:val="22"/>
          <w:szCs w:val="22"/>
        </w:rPr>
      </w:pPr>
      <w:r>
        <w:rPr>
          <w:rFonts w:ascii="Trebuchet MS" w:hAnsi="Trebuchet MS"/>
          <w:iCs/>
          <w:sz w:val="22"/>
          <w:szCs w:val="22"/>
        </w:rPr>
        <w:t xml:space="preserve">PNRR - </w:t>
      </w:r>
      <w:r>
        <w:rPr>
          <w:rFonts w:ascii="Trebuchet MS" w:hAnsi="Trebuchet MS"/>
          <w:sz w:val="22"/>
          <w:szCs w:val="22"/>
        </w:rPr>
        <w:t>Planul Național de Redresare și Reziliență</w:t>
      </w:r>
    </w:p>
    <w:p w14:paraId="7EBC4394" w14:textId="5D8D91BC" w:rsidR="000654CE" w:rsidRDefault="0037251F">
      <w:pPr>
        <w:spacing w:after="120" w:line="276" w:lineRule="auto"/>
        <w:ind w:left="990"/>
        <w:jc w:val="both"/>
        <w:rPr>
          <w:rFonts w:ascii="Trebuchet MS" w:hAnsi="Trebuchet MS"/>
          <w:iCs/>
          <w:sz w:val="22"/>
          <w:szCs w:val="22"/>
        </w:rPr>
      </w:pPr>
      <w:r>
        <w:rPr>
          <w:rFonts w:ascii="Trebuchet MS" w:hAnsi="Trebuchet MS"/>
          <w:iCs/>
          <w:sz w:val="22"/>
          <w:szCs w:val="22"/>
        </w:rPr>
        <w:t>PUI – prima utilizare industrială</w:t>
      </w:r>
    </w:p>
    <w:p w14:paraId="17798BB7" w14:textId="77777777" w:rsidR="000654CE" w:rsidRDefault="000654CE">
      <w:pPr>
        <w:spacing w:after="120" w:line="276" w:lineRule="auto"/>
        <w:ind w:left="990"/>
        <w:jc w:val="both"/>
        <w:rPr>
          <w:rFonts w:ascii="Trebuchet MS" w:hAnsi="Trebuchet MS"/>
          <w:iCs/>
          <w:sz w:val="22"/>
          <w:szCs w:val="22"/>
        </w:rPr>
      </w:pPr>
    </w:p>
    <w:p w14:paraId="2CF1A434" w14:textId="77777777" w:rsidR="000654CE" w:rsidRDefault="000654CE">
      <w:pPr>
        <w:spacing w:after="120" w:line="276" w:lineRule="auto"/>
        <w:ind w:left="990"/>
        <w:jc w:val="both"/>
        <w:rPr>
          <w:rFonts w:ascii="Trebuchet MS" w:hAnsi="Trebuchet MS"/>
          <w:iCs/>
          <w:sz w:val="22"/>
          <w:szCs w:val="22"/>
        </w:rPr>
      </w:pPr>
    </w:p>
    <w:p w14:paraId="4D35259F" w14:textId="77777777" w:rsidR="000654CE" w:rsidRDefault="000654CE">
      <w:pPr>
        <w:spacing w:after="120" w:line="276" w:lineRule="auto"/>
        <w:ind w:left="990"/>
        <w:jc w:val="both"/>
        <w:rPr>
          <w:rFonts w:ascii="Trebuchet MS" w:hAnsi="Trebuchet MS"/>
          <w:iCs/>
          <w:sz w:val="22"/>
          <w:szCs w:val="22"/>
        </w:rPr>
      </w:pPr>
    </w:p>
    <w:p w14:paraId="0AF13096" w14:textId="77777777" w:rsidR="000654CE" w:rsidRDefault="000654CE">
      <w:pPr>
        <w:spacing w:after="120" w:line="276" w:lineRule="auto"/>
        <w:ind w:left="990"/>
        <w:jc w:val="both"/>
        <w:rPr>
          <w:rFonts w:ascii="Trebuchet MS" w:hAnsi="Trebuchet MS"/>
          <w:iCs/>
          <w:sz w:val="22"/>
          <w:szCs w:val="22"/>
        </w:rPr>
      </w:pPr>
    </w:p>
    <w:p w14:paraId="61E1AC94" w14:textId="77777777" w:rsidR="000654CE" w:rsidRDefault="000654CE">
      <w:pPr>
        <w:spacing w:after="120" w:line="276" w:lineRule="auto"/>
        <w:ind w:left="990"/>
        <w:jc w:val="both"/>
        <w:rPr>
          <w:rFonts w:ascii="Trebuchet MS" w:hAnsi="Trebuchet MS"/>
          <w:iCs/>
          <w:sz w:val="22"/>
          <w:szCs w:val="22"/>
        </w:rPr>
      </w:pPr>
    </w:p>
    <w:p w14:paraId="29A68B8C" w14:textId="77777777" w:rsidR="000654CE" w:rsidRDefault="000654CE">
      <w:pPr>
        <w:spacing w:after="120" w:line="276" w:lineRule="auto"/>
        <w:ind w:left="990"/>
        <w:jc w:val="both"/>
        <w:rPr>
          <w:rFonts w:ascii="Trebuchet MS" w:hAnsi="Trebuchet MS"/>
          <w:iCs/>
          <w:sz w:val="22"/>
          <w:szCs w:val="22"/>
        </w:rPr>
      </w:pPr>
    </w:p>
    <w:p w14:paraId="75445545" w14:textId="77777777" w:rsidR="000654CE" w:rsidRDefault="000654CE">
      <w:pPr>
        <w:spacing w:after="120" w:line="276" w:lineRule="auto"/>
        <w:ind w:left="990"/>
        <w:jc w:val="both"/>
        <w:rPr>
          <w:rFonts w:ascii="Trebuchet MS" w:hAnsi="Trebuchet MS"/>
          <w:iCs/>
          <w:sz w:val="22"/>
          <w:szCs w:val="22"/>
        </w:rPr>
      </w:pPr>
    </w:p>
    <w:p w14:paraId="598828FB" w14:textId="77777777" w:rsidR="000654CE" w:rsidRDefault="000654CE">
      <w:pPr>
        <w:spacing w:after="120" w:line="276" w:lineRule="auto"/>
        <w:ind w:left="990"/>
        <w:jc w:val="both"/>
        <w:rPr>
          <w:rFonts w:ascii="Trebuchet MS" w:hAnsi="Trebuchet MS"/>
          <w:iCs/>
          <w:sz w:val="22"/>
          <w:szCs w:val="22"/>
        </w:rPr>
      </w:pPr>
    </w:p>
    <w:p w14:paraId="57991B32" w14:textId="77777777" w:rsidR="000654CE" w:rsidRDefault="000654CE">
      <w:pPr>
        <w:spacing w:after="120" w:line="276" w:lineRule="auto"/>
        <w:ind w:left="990"/>
        <w:jc w:val="both"/>
        <w:rPr>
          <w:rFonts w:ascii="Trebuchet MS" w:hAnsi="Trebuchet MS"/>
          <w:iCs/>
          <w:sz w:val="22"/>
          <w:szCs w:val="22"/>
        </w:rPr>
      </w:pPr>
    </w:p>
    <w:p w14:paraId="27B52A3A" w14:textId="77777777" w:rsidR="000654CE" w:rsidRDefault="000654CE">
      <w:pPr>
        <w:spacing w:after="120" w:line="276" w:lineRule="auto"/>
        <w:ind w:left="990"/>
        <w:jc w:val="both"/>
        <w:rPr>
          <w:rFonts w:ascii="Trebuchet MS" w:hAnsi="Trebuchet MS"/>
          <w:iCs/>
          <w:sz w:val="22"/>
          <w:szCs w:val="22"/>
        </w:rPr>
      </w:pPr>
    </w:p>
    <w:p w14:paraId="6C21BD79" w14:textId="77777777" w:rsidR="000654CE" w:rsidRDefault="000654CE">
      <w:pPr>
        <w:spacing w:after="120" w:line="276" w:lineRule="auto"/>
        <w:ind w:left="990"/>
        <w:jc w:val="both"/>
        <w:rPr>
          <w:rFonts w:ascii="Trebuchet MS" w:hAnsi="Trebuchet MS"/>
          <w:iCs/>
          <w:sz w:val="22"/>
          <w:szCs w:val="22"/>
        </w:rPr>
      </w:pPr>
    </w:p>
    <w:p w14:paraId="656EB2F5" w14:textId="77777777" w:rsidR="000654CE" w:rsidRDefault="000654CE">
      <w:pPr>
        <w:spacing w:after="120" w:line="276" w:lineRule="auto"/>
        <w:ind w:left="990"/>
        <w:jc w:val="both"/>
        <w:rPr>
          <w:rFonts w:ascii="Trebuchet MS" w:hAnsi="Trebuchet MS"/>
          <w:iCs/>
          <w:sz w:val="22"/>
          <w:szCs w:val="22"/>
        </w:rPr>
      </w:pPr>
    </w:p>
    <w:p w14:paraId="4402192C" w14:textId="77777777" w:rsidR="00F35314" w:rsidRDefault="00F35314">
      <w:pPr>
        <w:spacing w:after="120" w:line="276" w:lineRule="auto"/>
        <w:ind w:left="990"/>
        <w:jc w:val="both"/>
        <w:rPr>
          <w:rFonts w:ascii="Trebuchet MS" w:hAnsi="Trebuchet MS"/>
          <w:iCs/>
          <w:sz w:val="22"/>
          <w:szCs w:val="22"/>
        </w:rPr>
      </w:pPr>
    </w:p>
    <w:p w14:paraId="7905861E" w14:textId="77777777" w:rsidR="00F35314" w:rsidRDefault="00F35314">
      <w:pPr>
        <w:spacing w:after="120" w:line="276" w:lineRule="auto"/>
        <w:ind w:left="990"/>
        <w:jc w:val="both"/>
        <w:rPr>
          <w:rFonts w:ascii="Trebuchet MS" w:hAnsi="Trebuchet MS"/>
          <w:iCs/>
          <w:sz w:val="22"/>
          <w:szCs w:val="22"/>
        </w:rPr>
      </w:pPr>
    </w:p>
    <w:p w14:paraId="62D43F56" w14:textId="77777777" w:rsidR="000654CE" w:rsidRDefault="000654CE">
      <w:pPr>
        <w:spacing w:after="120" w:line="276" w:lineRule="auto"/>
        <w:ind w:left="990"/>
        <w:jc w:val="both"/>
        <w:rPr>
          <w:rFonts w:ascii="Trebuchet MS" w:hAnsi="Trebuchet MS"/>
          <w:iCs/>
          <w:sz w:val="22"/>
          <w:szCs w:val="22"/>
        </w:rPr>
      </w:pPr>
    </w:p>
    <w:p w14:paraId="038EBA63" w14:textId="77777777" w:rsidR="000654CE" w:rsidRDefault="000654CE">
      <w:pPr>
        <w:spacing w:after="120" w:line="276" w:lineRule="auto"/>
        <w:ind w:left="990"/>
        <w:jc w:val="both"/>
        <w:rPr>
          <w:rFonts w:ascii="Trebuchet MS" w:hAnsi="Trebuchet MS"/>
          <w:iCs/>
          <w:sz w:val="22"/>
          <w:szCs w:val="22"/>
        </w:rPr>
      </w:pPr>
    </w:p>
    <w:p w14:paraId="159109E9" w14:textId="77777777" w:rsidR="000654CE" w:rsidRDefault="000654CE">
      <w:pPr>
        <w:spacing w:after="120" w:line="276" w:lineRule="auto"/>
        <w:ind w:left="990"/>
        <w:jc w:val="both"/>
        <w:rPr>
          <w:rFonts w:ascii="Trebuchet MS" w:hAnsi="Trebuchet MS"/>
          <w:iCs/>
          <w:sz w:val="22"/>
          <w:szCs w:val="22"/>
        </w:rPr>
      </w:pPr>
    </w:p>
    <w:p w14:paraId="7835EDFB" w14:textId="77777777" w:rsidR="000654CE" w:rsidRDefault="00000000">
      <w:pPr>
        <w:pStyle w:val="Heading1"/>
        <w:numPr>
          <w:ilvl w:val="0"/>
          <w:numId w:val="1"/>
        </w:numPr>
        <w:shd w:val="clear" w:color="auto" w:fill="BDD6EE" w:themeFill="accent1" w:themeFillTint="66"/>
        <w:spacing w:before="120" w:after="120" w:line="276" w:lineRule="auto"/>
        <w:ind w:left="990"/>
        <w:rPr>
          <w:rFonts w:ascii="Trebuchet MS" w:hAnsi="Trebuchet MS"/>
          <w:color w:val="auto"/>
          <w:sz w:val="22"/>
          <w:szCs w:val="22"/>
        </w:rPr>
      </w:pPr>
      <w:bookmarkStart w:id="3" w:name="_Toc144988175"/>
      <w:bookmarkStart w:id="4" w:name="_Toc149224621"/>
      <w:r>
        <w:rPr>
          <w:rFonts w:ascii="Trebuchet MS" w:hAnsi="Trebuchet MS"/>
          <w:b/>
          <w:color w:val="auto"/>
          <w:sz w:val="22"/>
          <w:szCs w:val="22"/>
        </w:rPr>
        <w:t>Scopul ghidului</w:t>
      </w:r>
      <w:bookmarkEnd w:id="3"/>
      <w:bookmarkEnd w:id="4"/>
    </w:p>
    <w:p w14:paraId="47F7BB2E" w14:textId="10819AD5" w:rsidR="000654CE" w:rsidRDefault="00000000">
      <w:pPr>
        <w:spacing w:before="120" w:after="120" w:line="276" w:lineRule="auto"/>
        <w:ind w:left="990"/>
        <w:jc w:val="both"/>
        <w:rPr>
          <w:rFonts w:ascii="Trebuchet MS" w:hAnsi="Trebuchet MS"/>
          <w:sz w:val="22"/>
          <w:szCs w:val="22"/>
        </w:rPr>
      </w:pPr>
      <w:bookmarkStart w:id="5" w:name="_Hlk147763641"/>
      <w:r>
        <w:rPr>
          <w:rFonts w:ascii="Trebuchet MS" w:hAnsi="Trebuchet MS"/>
          <w:sz w:val="22"/>
          <w:szCs w:val="22"/>
        </w:rPr>
        <w:t>Prezentul ghid se adresează participanților direcți (PD) la PIIEC ale căror proiecte au fost notificate Comisiei Europene (CE) pentru a primi ajutor de stat și au fost selectate în conformitate cu Decizia Comisiei Europene C(2023) 3817 din 08.06.2023 cu privire la aprobarea ajutoarelor de stat individuale pentru proiectul important de interes european în domeniul microelectronicii și al tehnologiilor comunicațiilor, finanțate prin Investiția 4 – Proiecte transfrontaliere și multinaționale – Procesoare cu consum redus de energie și cipuri semiconductoare,</w:t>
      </w:r>
      <w:r>
        <w:t xml:space="preserve"> </w:t>
      </w:r>
      <w:r>
        <w:rPr>
          <w:rFonts w:ascii="Trebuchet MS" w:hAnsi="Trebuchet MS"/>
          <w:sz w:val="22"/>
          <w:szCs w:val="22"/>
        </w:rPr>
        <w:t xml:space="preserve">Componenta 9 – Suport pentru sectorul privat, cercetare, dezvoltare, inovare din cadrul  PNRR </w:t>
      </w:r>
      <w:bookmarkEnd w:id="5"/>
      <w:r>
        <w:rPr>
          <w:rFonts w:ascii="Trebuchet MS" w:hAnsi="Trebuchet MS"/>
          <w:sz w:val="22"/>
          <w:szCs w:val="22"/>
        </w:rPr>
        <w:t>.</w:t>
      </w:r>
      <w:r w:rsidR="007D5EF1">
        <w:rPr>
          <w:rFonts w:ascii="Trebuchet MS" w:hAnsi="Trebuchet MS"/>
          <w:sz w:val="22"/>
          <w:szCs w:val="22"/>
        </w:rPr>
        <w:t xml:space="preserve"> Prezentul ghid vizează un apel necompetitiv pentru contractarea participanților direcți finanțați </w:t>
      </w:r>
      <w:r w:rsidR="007D5EF1" w:rsidRPr="007D5EF1">
        <w:rPr>
          <w:rFonts w:ascii="Trebuchet MS" w:hAnsi="Trebuchet MS"/>
          <w:sz w:val="22"/>
          <w:szCs w:val="22"/>
        </w:rPr>
        <w:t>prin Investiția 4 – Proiecte transfrontaliere și multinaționale – Procesoare cu consum redus de energie și cipuri semiconductoare, Componenta 9 – Suport pentru sectorul privat, cercetare, dezvoltare, inovare din cadrul  PNRR</w:t>
      </w:r>
      <w:r w:rsidR="007D5EF1">
        <w:rPr>
          <w:rFonts w:ascii="Trebuchet MS" w:hAnsi="Trebuchet MS"/>
          <w:sz w:val="22"/>
          <w:szCs w:val="22"/>
        </w:rPr>
        <w:t>.</w:t>
      </w:r>
    </w:p>
    <w:p w14:paraId="05D4BD70" w14:textId="571D8FCE"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MIPE îndeplinește rolul de coordonator de reforme și/sau investiții, desemnat să asigure îndeplinirea țintelor/jaloanelor din CID pentru Investiția 4 (I4). Proiecte transfrontaliere și multinaționale – Procesoare cu consum redus de energie și cipuri semiconductoare din cadrul Componentei 9 (C9) Suport pentru sectorul privat, cercetare, dezvoltare și inovare, iar MEAT îndeplinește rolul de agenție de implementare desemnată să asigure implementarea proiectelor aferente acestei investiții finanțate prin Mecanismul de redresare şi reziliență.  Prezentul Ghid de contractare contribuie la realizarea țintei 269 din anexa la Decizia de punere în aplicare a Consiliului de aprobare a evaluării Planului de redresare și reziliență al României.</w:t>
      </w:r>
    </w:p>
    <w:p w14:paraId="4D74307A" w14:textId="77777777" w:rsidR="000654CE" w:rsidRDefault="000654CE">
      <w:pPr>
        <w:spacing w:before="120" w:after="120" w:line="276" w:lineRule="auto"/>
        <w:ind w:left="990"/>
        <w:jc w:val="both"/>
        <w:rPr>
          <w:rFonts w:ascii="Trebuchet MS" w:hAnsi="Trebuchet MS"/>
          <w:sz w:val="22"/>
          <w:szCs w:val="22"/>
        </w:rPr>
      </w:pPr>
    </w:p>
    <w:p w14:paraId="7D749A66" w14:textId="77777777" w:rsidR="000654CE" w:rsidRDefault="00000000">
      <w:pPr>
        <w:pStyle w:val="Heading1"/>
        <w:numPr>
          <w:ilvl w:val="0"/>
          <w:numId w:val="1"/>
        </w:numPr>
        <w:shd w:val="clear" w:color="auto" w:fill="BDD6EE" w:themeFill="accent1" w:themeFillTint="66"/>
        <w:spacing w:before="120" w:after="120" w:line="276" w:lineRule="auto"/>
        <w:ind w:left="990"/>
        <w:rPr>
          <w:rFonts w:ascii="Trebuchet MS" w:hAnsi="Trebuchet MS"/>
          <w:b/>
          <w:color w:val="auto"/>
          <w:sz w:val="22"/>
          <w:szCs w:val="22"/>
        </w:rPr>
      </w:pPr>
      <w:bookmarkStart w:id="6" w:name="_Hlk141949588"/>
      <w:bookmarkStart w:id="7" w:name="_Toc144988179"/>
      <w:bookmarkStart w:id="8" w:name="_Toc149224622"/>
      <w:bookmarkEnd w:id="6"/>
      <w:r>
        <w:rPr>
          <w:rFonts w:ascii="Trebuchet MS" w:hAnsi="Trebuchet MS"/>
          <w:b/>
          <w:color w:val="auto"/>
          <w:sz w:val="22"/>
          <w:szCs w:val="22"/>
        </w:rPr>
        <w:t>Buget; beneficiari; indicatori</w:t>
      </w:r>
      <w:bookmarkEnd w:id="7"/>
      <w:bookmarkEnd w:id="8"/>
    </w:p>
    <w:p w14:paraId="7D543256" w14:textId="1BD5718F" w:rsidR="000654CE" w:rsidRDefault="00000000">
      <w:pPr>
        <w:spacing w:before="120" w:after="120" w:line="276" w:lineRule="auto"/>
        <w:ind w:left="990"/>
        <w:jc w:val="both"/>
        <w:rPr>
          <w:rFonts w:ascii="Trebuchet MS" w:hAnsi="Trebuchet MS"/>
          <w:sz w:val="22"/>
          <w:szCs w:val="22"/>
        </w:rPr>
      </w:pPr>
      <w:bookmarkStart w:id="9" w:name="_Hlk147763989"/>
      <w:r>
        <w:rPr>
          <w:rFonts w:ascii="Trebuchet MS" w:hAnsi="Trebuchet MS"/>
          <w:sz w:val="22"/>
          <w:szCs w:val="22"/>
        </w:rPr>
        <w:t>Bugetul total aferent Investiției 4., Componenta 9, este de 500 milioane euro, acesta însumând atât bugetul destinat întreprinderi</w:t>
      </w:r>
      <w:r w:rsidR="003314BB">
        <w:rPr>
          <w:rFonts w:ascii="Trebuchet MS" w:hAnsi="Trebuchet MS"/>
          <w:sz w:val="22"/>
          <w:szCs w:val="22"/>
        </w:rPr>
        <w:t>lor</w:t>
      </w:r>
      <w:r>
        <w:rPr>
          <w:rFonts w:ascii="Trebuchet MS" w:hAnsi="Trebuchet MS"/>
          <w:sz w:val="22"/>
          <w:szCs w:val="22"/>
        </w:rPr>
        <w:t xml:space="preserve"> care au calitatea de participanți direcți, cât și bugetul aferent participanților indirecți</w:t>
      </w:r>
      <w:r w:rsidR="00C86D85">
        <w:rPr>
          <w:rFonts w:ascii="Trebuchet MS" w:hAnsi="Trebuchet MS"/>
          <w:sz w:val="22"/>
          <w:szCs w:val="22"/>
        </w:rPr>
        <w:t>, definiți potrivit HG nr. 856/2022,</w:t>
      </w:r>
      <w:r>
        <w:rPr>
          <w:rFonts w:ascii="Trebuchet MS" w:hAnsi="Trebuchet MS"/>
          <w:sz w:val="22"/>
          <w:szCs w:val="22"/>
        </w:rPr>
        <w:t xml:space="preserve"> care va fi disponibil în cadrul unui apel de proiecte distinct.</w:t>
      </w:r>
    </w:p>
    <w:p w14:paraId="221C140A" w14:textId="377360B0"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Bugetul </w:t>
      </w:r>
      <w:bookmarkStart w:id="10" w:name="_Hlk147492736"/>
      <w:r>
        <w:rPr>
          <w:rFonts w:ascii="Trebuchet MS" w:hAnsi="Trebuchet MS"/>
          <w:sz w:val="22"/>
          <w:szCs w:val="22"/>
        </w:rPr>
        <w:t>aferent prezentului ghid este de 195,63 milioane euro, în conformitate cu Decizia C(2023) 3817 din 08.06.2023 cu privire la aprobarea ajutoarelor de stat individuale pentru proiectul important de interes european comun în domeniul microelectronicii și al tehnologiilor comunicațiilor</w:t>
      </w:r>
      <w:bookmarkEnd w:id="9"/>
      <w:bookmarkEnd w:id="10"/>
      <w:r>
        <w:rPr>
          <w:rFonts w:ascii="Trebuchet MS" w:hAnsi="Trebuchet MS"/>
          <w:sz w:val="22"/>
          <w:szCs w:val="22"/>
        </w:rPr>
        <w:t>, prin care Comisia Europeană a selectat 3 (trei) întreprinderi care să aibă calitatea de participanți direcți, ale căror propuneri de proiecte să facă parte din PIIEC și care pot beneficia de ajutor de stat din PNRR, după cum urmează:</w:t>
      </w:r>
    </w:p>
    <w:p w14:paraId="6810C056" w14:textId="2BD1E001" w:rsidR="00875B01" w:rsidRDefault="00875B01" w:rsidP="00875B01">
      <w:pPr>
        <w:spacing w:before="120" w:line="276" w:lineRule="auto"/>
        <w:ind w:left="990"/>
        <w:jc w:val="both"/>
        <w:rPr>
          <w:rFonts w:ascii="Trebuchet MS" w:hAnsi="Trebuchet MS"/>
          <w:sz w:val="22"/>
          <w:szCs w:val="22"/>
        </w:rPr>
      </w:pPr>
      <w:r>
        <w:rPr>
          <w:rFonts w:ascii="Trebuchet MS" w:hAnsi="Trebuchet MS"/>
          <w:sz w:val="22"/>
          <w:szCs w:val="22"/>
        </w:rPr>
        <w:t xml:space="preserve">Tabel 1 – Beneficiari în cadrul apelului necompetitiv </w:t>
      </w:r>
    </w:p>
    <w:tbl>
      <w:tblPr>
        <w:tblStyle w:val="TableGrid"/>
        <w:tblW w:w="9752" w:type="dxa"/>
        <w:tblInd w:w="863" w:type="dxa"/>
        <w:tblLayout w:type="fixed"/>
        <w:tblLook w:val="04A0" w:firstRow="1" w:lastRow="0" w:firstColumn="1" w:lastColumn="0" w:noHBand="0" w:noVBand="1"/>
      </w:tblPr>
      <w:tblGrid>
        <w:gridCol w:w="3413"/>
        <w:gridCol w:w="2616"/>
        <w:gridCol w:w="3723"/>
      </w:tblGrid>
      <w:tr w:rsidR="000654CE" w14:paraId="0A7AD68E" w14:textId="77777777">
        <w:tc>
          <w:tcPr>
            <w:tcW w:w="3413" w:type="dxa"/>
            <w:vAlign w:val="center"/>
          </w:tcPr>
          <w:p w14:paraId="2A3994C8" w14:textId="77777777" w:rsidR="000654CE" w:rsidRDefault="00000000">
            <w:pPr>
              <w:pStyle w:val="ListParagraph"/>
              <w:widowControl w:val="0"/>
              <w:spacing w:line="276" w:lineRule="auto"/>
              <w:ind w:left="157"/>
              <w:jc w:val="center"/>
              <w:rPr>
                <w:rFonts w:ascii="Trebuchet MS" w:hAnsi="Trebuchet MS"/>
                <w:b/>
                <w:color w:val="000000" w:themeColor="text1"/>
                <w:sz w:val="22"/>
                <w:szCs w:val="22"/>
              </w:rPr>
            </w:pPr>
            <w:r>
              <w:rPr>
                <w:rFonts w:ascii="Trebuchet MS" w:eastAsia="Calibri" w:hAnsi="Trebuchet MS"/>
                <w:b/>
                <w:color w:val="000000" w:themeColor="text1"/>
                <w:sz w:val="22"/>
                <w:szCs w:val="22"/>
              </w:rPr>
              <w:t>Denumire proiect</w:t>
            </w:r>
          </w:p>
        </w:tc>
        <w:tc>
          <w:tcPr>
            <w:tcW w:w="2616" w:type="dxa"/>
            <w:vAlign w:val="center"/>
          </w:tcPr>
          <w:p w14:paraId="7E0D8BA1" w14:textId="77777777" w:rsidR="000654CE" w:rsidRDefault="00000000">
            <w:pPr>
              <w:pStyle w:val="ListParagraph"/>
              <w:widowControl w:val="0"/>
              <w:spacing w:line="276" w:lineRule="auto"/>
              <w:ind w:left="157"/>
              <w:jc w:val="center"/>
              <w:rPr>
                <w:rFonts w:ascii="Trebuchet MS" w:hAnsi="Trebuchet MS"/>
                <w:b/>
                <w:color w:val="000000" w:themeColor="text1"/>
                <w:sz w:val="22"/>
                <w:szCs w:val="22"/>
              </w:rPr>
            </w:pPr>
            <w:r>
              <w:rPr>
                <w:rFonts w:ascii="Trebuchet MS" w:eastAsia="Calibri" w:hAnsi="Trebuchet MS"/>
                <w:b/>
                <w:color w:val="000000" w:themeColor="text1"/>
                <w:sz w:val="22"/>
                <w:szCs w:val="22"/>
              </w:rPr>
              <w:t>Întreprindere</w:t>
            </w:r>
          </w:p>
        </w:tc>
        <w:tc>
          <w:tcPr>
            <w:tcW w:w="3723" w:type="dxa"/>
            <w:vAlign w:val="center"/>
          </w:tcPr>
          <w:p w14:paraId="68B28A8F" w14:textId="77777777" w:rsidR="000654CE" w:rsidRDefault="00000000">
            <w:pPr>
              <w:pStyle w:val="ListParagraph"/>
              <w:widowControl w:val="0"/>
              <w:spacing w:line="276" w:lineRule="auto"/>
              <w:ind w:left="157"/>
              <w:jc w:val="center"/>
              <w:rPr>
                <w:rFonts w:ascii="Trebuchet MS" w:hAnsi="Trebuchet MS"/>
                <w:b/>
                <w:color w:val="000000" w:themeColor="text1"/>
                <w:sz w:val="22"/>
                <w:szCs w:val="22"/>
              </w:rPr>
            </w:pPr>
            <w:r>
              <w:rPr>
                <w:rFonts w:ascii="Trebuchet MS" w:eastAsia="Calibri" w:hAnsi="Trebuchet MS"/>
                <w:b/>
                <w:color w:val="000000" w:themeColor="text1"/>
                <w:sz w:val="22"/>
                <w:szCs w:val="22"/>
              </w:rPr>
              <w:t>Valoarea maximă a ajutorului de stat individual</w:t>
            </w:r>
          </w:p>
          <w:p w14:paraId="247A7F85" w14:textId="77777777" w:rsidR="000654CE" w:rsidRDefault="00000000">
            <w:pPr>
              <w:pStyle w:val="ListParagraph"/>
              <w:widowControl w:val="0"/>
              <w:spacing w:line="276" w:lineRule="auto"/>
              <w:ind w:left="157"/>
              <w:jc w:val="center"/>
              <w:rPr>
                <w:rFonts w:ascii="Trebuchet MS" w:hAnsi="Trebuchet MS"/>
                <w:b/>
                <w:color w:val="000000" w:themeColor="text1"/>
                <w:sz w:val="22"/>
                <w:szCs w:val="22"/>
              </w:rPr>
            </w:pPr>
            <w:r>
              <w:rPr>
                <w:rFonts w:ascii="Trebuchet MS" w:eastAsia="Calibri" w:hAnsi="Trebuchet MS"/>
                <w:b/>
                <w:color w:val="000000" w:themeColor="text1"/>
                <w:sz w:val="22"/>
                <w:szCs w:val="22"/>
              </w:rPr>
              <w:t>(milioane euro)</w:t>
            </w:r>
          </w:p>
        </w:tc>
      </w:tr>
      <w:tr w:rsidR="000654CE" w14:paraId="28DF8E2E" w14:textId="77777777">
        <w:trPr>
          <w:trHeight w:val="776"/>
        </w:trPr>
        <w:tc>
          <w:tcPr>
            <w:tcW w:w="3413" w:type="dxa"/>
            <w:vAlign w:val="center"/>
          </w:tcPr>
          <w:p w14:paraId="2585B2C5" w14:textId="77777777" w:rsidR="000654CE" w:rsidRDefault="00000000">
            <w:pPr>
              <w:pStyle w:val="ListParagraph"/>
              <w:widowControl w:val="0"/>
              <w:spacing w:line="276" w:lineRule="auto"/>
              <w:ind w:left="157"/>
              <w:jc w:val="both"/>
              <w:rPr>
                <w:rFonts w:ascii="Trebuchet MS" w:hAnsi="Trebuchet MS"/>
                <w:bCs/>
                <w:color w:val="000000" w:themeColor="text1"/>
                <w:sz w:val="22"/>
                <w:szCs w:val="22"/>
              </w:rPr>
            </w:pPr>
            <w:r>
              <w:rPr>
                <w:rFonts w:ascii="Trebuchet MS" w:eastAsia="Calibri" w:hAnsi="Trebuchet MS"/>
                <w:bCs/>
                <w:color w:val="000000" w:themeColor="text1"/>
                <w:sz w:val="22"/>
                <w:szCs w:val="22"/>
              </w:rPr>
              <w:t>EuroDrives</w:t>
            </w:r>
          </w:p>
        </w:tc>
        <w:tc>
          <w:tcPr>
            <w:tcW w:w="2616" w:type="dxa"/>
            <w:vAlign w:val="center"/>
          </w:tcPr>
          <w:p w14:paraId="1527F75A" w14:textId="77777777" w:rsidR="000654CE" w:rsidRDefault="000654CE">
            <w:pPr>
              <w:pStyle w:val="ListParagraph"/>
              <w:widowControl w:val="0"/>
              <w:spacing w:line="276" w:lineRule="auto"/>
              <w:ind w:left="157"/>
              <w:jc w:val="both"/>
              <w:rPr>
                <w:rFonts w:ascii="Trebuchet MS" w:hAnsi="Trebuchet MS"/>
                <w:bCs/>
                <w:color w:val="000000" w:themeColor="text1"/>
                <w:sz w:val="22"/>
                <w:szCs w:val="22"/>
              </w:rPr>
            </w:pPr>
          </w:p>
          <w:p w14:paraId="3948EB9F" w14:textId="77777777" w:rsidR="000654CE" w:rsidRDefault="00000000">
            <w:pPr>
              <w:pStyle w:val="ListParagraph"/>
              <w:widowControl w:val="0"/>
              <w:spacing w:line="276" w:lineRule="auto"/>
              <w:ind w:left="157"/>
              <w:jc w:val="both"/>
              <w:rPr>
                <w:rFonts w:ascii="Trebuchet MS" w:hAnsi="Trebuchet MS"/>
                <w:bCs/>
                <w:color w:val="000000" w:themeColor="text1"/>
                <w:sz w:val="22"/>
                <w:szCs w:val="22"/>
              </w:rPr>
            </w:pPr>
            <w:r>
              <w:rPr>
                <w:rFonts w:ascii="Trebuchet MS" w:eastAsia="Calibri" w:hAnsi="Trebuchet MS"/>
                <w:bCs/>
                <w:color w:val="000000" w:themeColor="text1"/>
                <w:sz w:val="22"/>
                <w:szCs w:val="22"/>
              </w:rPr>
              <w:t>Robert Bosch SRL</w:t>
            </w:r>
          </w:p>
          <w:p w14:paraId="3D8407E1" w14:textId="77777777" w:rsidR="000654CE" w:rsidRDefault="000654CE">
            <w:pPr>
              <w:pStyle w:val="ListParagraph"/>
              <w:widowControl w:val="0"/>
              <w:spacing w:line="276" w:lineRule="auto"/>
              <w:ind w:left="157"/>
              <w:jc w:val="both"/>
              <w:rPr>
                <w:rFonts w:ascii="Trebuchet MS" w:hAnsi="Trebuchet MS"/>
                <w:bCs/>
                <w:color w:val="000000" w:themeColor="text1"/>
                <w:sz w:val="22"/>
                <w:szCs w:val="22"/>
              </w:rPr>
            </w:pPr>
          </w:p>
        </w:tc>
        <w:tc>
          <w:tcPr>
            <w:tcW w:w="3723" w:type="dxa"/>
            <w:vAlign w:val="center"/>
          </w:tcPr>
          <w:p w14:paraId="0D2F29C5" w14:textId="77777777" w:rsidR="000654CE" w:rsidRDefault="000654CE">
            <w:pPr>
              <w:pStyle w:val="ListParagraph"/>
              <w:widowControl w:val="0"/>
              <w:spacing w:line="276" w:lineRule="auto"/>
              <w:ind w:left="157"/>
              <w:jc w:val="center"/>
              <w:rPr>
                <w:rFonts w:ascii="Trebuchet MS" w:hAnsi="Trebuchet MS"/>
                <w:bCs/>
                <w:color w:val="000000" w:themeColor="text1"/>
                <w:sz w:val="22"/>
                <w:szCs w:val="22"/>
              </w:rPr>
            </w:pPr>
          </w:p>
          <w:p w14:paraId="656214AD" w14:textId="77777777" w:rsidR="000654CE" w:rsidRDefault="00000000">
            <w:pPr>
              <w:pStyle w:val="ListParagraph"/>
              <w:widowControl w:val="0"/>
              <w:spacing w:line="276" w:lineRule="auto"/>
              <w:ind w:left="157"/>
              <w:jc w:val="center"/>
              <w:rPr>
                <w:rFonts w:ascii="Trebuchet MS" w:hAnsi="Trebuchet MS"/>
                <w:bCs/>
                <w:color w:val="000000" w:themeColor="text1"/>
                <w:sz w:val="22"/>
                <w:szCs w:val="22"/>
              </w:rPr>
            </w:pPr>
            <w:r>
              <w:rPr>
                <w:rFonts w:ascii="Trebuchet MS" w:eastAsia="Calibri" w:hAnsi="Trebuchet MS"/>
                <w:bCs/>
                <w:color w:val="000000" w:themeColor="text1"/>
                <w:sz w:val="22"/>
                <w:szCs w:val="22"/>
              </w:rPr>
              <w:t>34,31</w:t>
            </w:r>
          </w:p>
          <w:p w14:paraId="7EC00DD5" w14:textId="77777777" w:rsidR="000654CE" w:rsidRDefault="000654CE">
            <w:pPr>
              <w:pStyle w:val="ListParagraph"/>
              <w:widowControl w:val="0"/>
              <w:spacing w:line="276" w:lineRule="auto"/>
              <w:ind w:left="157"/>
              <w:jc w:val="center"/>
              <w:rPr>
                <w:rFonts w:ascii="Trebuchet MS" w:hAnsi="Trebuchet MS"/>
                <w:bCs/>
                <w:color w:val="000000" w:themeColor="text1"/>
                <w:sz w:val="22"/>
                <w:szCs w:val="22"/>
              </w:rPr>
            </w:pPr>
          </w:p>
        </w:tc>
      </w:tr>
      <w:tr w:rsidR="000654CE" w14:paraId="141D79CB" w14:textId="77777777">
        <w:tc>
          <w:tcPr>
            <w:tcW w:w="3413" w:type="dxa"/>
            <w:vAlign w:val="center"/>
          </w:tcPr>
          <w:p w14:paraId="235E4079" w14:textId="77777777" w:rsidR="000654CE" w:rsidRDefault="00000000">
            <w:pPr>
              <w:pStyle w:val="ListParagraph"/>
              <w:widowControl w:val="0"/>
              <w:spacing w:line="276" w:lineRule="auto"/>
              <w:ind w:left="157"/>
              <w:rPr>
                <w:rFonts w:ascii="Trebuchet MS" w:hAnsi="Trebuchet MS"/>
                <w:bCs/>
                <w:color w:val="000000" w:themeColor="text1"/>
                <w:sz w:val="22"/>
                <w:szCs w:val="22"/>
              </w:rPr>
            </w:pPr>
            <w:r>
              <w:rPr>
                <w:rFonts w:ascii="Trebuchet MS" w:eastAsia="Calibri" w:hAnsi="Trebuchet MS"/>
                <w:bCs/>
                <w:color w:val="000000" w:themeColor="text1"/>
                <w:sz w:val="22"/>
                <w:szCs w:val="22"/>
              </w:rPr>
              <w:t>Automotive Systems Smart Energy-efficient Transducers – Innovation across value Chain</w:t>
            </w:r>
          </w:p>
          <w:p w14:paraId="71DC198D" w14:textId="77777777" w:rsidR="000654CE" w:rsidRDefault="00000000">
            <w:pPr>
              <w:pStyle w:val="ListParagraph"/>
              <w:widowControl w:val="0"/>
              <w:spacing w:line="276" w:lineRule="auto"/>
              <w:ind w:left="157"/>
              <w:jc w:val="both"/>
              <w:rPr>
                <w:rFonts w:ascii="Trebuchet MS" w:hAnsi="Trebuchet MS"/>
                <w:bCs/>
                <w:color w:val="000000" w:themeColor="text1"/>
                <w:sz w:val="22"/>
                <w:szCs w:val="22"/>
              </w:rPr>
            </w:pPr>
            <w:r>
              <w:rPr>
                <w:rFonts w:ascii="Trebuchet MS" w:eastAsia="Calibri" w:hAnsi="Trebuchet MS"/>
                <w:bCs/>
                <w:color w:val="000000" w:themeColor="text1"/>
                <w:sz w:val="22"/>
                <w:szCs w:val="22"/>
              </w:rPr>
              <w:t>(ASSET-IxC )</w:t>
            </w:r>
          </w:p>
        </w:tc>
        <w:tc>
          <w:tcPr>
            <w:tcW w:w="2616" w:type="dxa"/>
            <w:vAlign w:val="center"/>
          </w:tcPr>
          <w:p w14:paraId="23CD2DE3" w14:textId="77777777" w:rsidR="000654CE" w:rsidRDefault="00000000">
            <w:pPr>
              <w:pStyle w:val="ListParagraph"/>
              <w:widowControl w:val="0"/>
              <w:spacing w:line="276" w:lineRule="auto"/>
              <w:ind w:left="157"/>
              <w:jc w:val="both"/>
              <w:rPr>
                <w:rFonts w:ascii="Trebuchet MS" w:hAnsi="Trebuchet MS"/>
                <w:bCs/>
                <w:color w:val="000000" w:themeColor="text1"/>
                <w:sz w:val="22"/>
                <w:szCs w:val="22"/>
              </w:rPr>
            </w:pPr>
            <w:r>
              <w:rPr>
                <w:rFonts w:ascii="Trebuchet MS" w:eastAsia="Calibri" w:hAnsi="Trebuchet MS"/>
                <w:bCs/>
                <w:color w:val="000000" w:themeColor="text1"/>
                <w:sz w:val="22"/>
                <w:szCs w:val="22"/>
              </w:rPr>
              <w:t>Continental Automotive Romania SRL</w:t>
            </w:r>
          </w:p>
        </w:tc>
        <w:tc>
          <w:tcPr>
            <w:tcW w:w="3723" w:type="dxa"/>
            <w:vAlign w:val="center"/>
          </w:tcPr>
          <w:p w14:paraId="11661417" w14:textId="77777777" w:rsidR="000654CE" w:rsidRDefault="00000000">
            <w:pPr>
              <w:pStyle w:val="ListParagraph"/>
              <w:widowControl w:val="0"/>
              <w:spacing w:line="276" w:lineRule="auto"/>
              <w:ind w:left="157"/>
              <w:jc w:val="center"/>
              <w:rPr>
                <w:rFonts w:ascii="Trebuchet MS" w:hAnsi="Trebuchet MS"/>
                <w:bCs/>
                <w:color w:val="000000" w:themeColor="text1"/>
                <w:sz w:val="22"/>
                <w:szCs w:val="22"/>
              </w:rPr>
            </w:pPr>
            <w:r>
              <w:rPr>
                <w:rFonts w:ascii="Trebuchet MS" w:eastAsia="Calibri" w:hAnsi="Trebuchet MS"/>
                <w:bCs/>
                <w:color w:val="000000" w:themeColor="text1"/>
                <w:sz w:val="22"/>
                <w:szCs w:val="22"/>
              </w:rPr>
              <w:t>74,8</w:t>
            </w:r>
          </w:p>
        </w:tc>
      </w:tr>
      <w:tr w:rsidR="000654CE" w14:paraId="02DF9A31" w14:textId="77777777">
        <w:trPr>
          <w:trHeight w:val="841"/>
        </w:trPr>
        <w:tc>
          <w:tcPr>
            <w:tcW w:w="3413" w:type="dxa"/>
            <w:vAlign w:val="center"/>
          </w:tcPr>
          <w:p w14:paraId="49D62681" w14:textId="77777777" w:rsidR="000654CE" w:rsidRDefault="00000000">
            <w:pPr>
              <w:pStyle w:val="ListParagraph"/>
              <w:widowControl w:val="0"/>
              <w:spacing w:line="276" w:lineRule="auto"/>
              <w:ind w:left="157"/>
              <w:jc w:val="both"/>
              <w:rPr>
                <w:rFonts w:ascii="Trebuchet MS" w:hAnsi="Trebuchet MS"/>
                <w:bCs/>
                <w:color w:val="000000" w:themeColor="text1"/>
                <w:sz w:val="22"/>
                <w:szCs w:val="22"/>
              </w:rPr>
            </w:pPr>
            <w:r>
              <w:rPr>
                <w:rFonts w:ascii="Trebuchet MS" w:eastAsia="Calibri" w:hAnsi="Trebuchet MS"/>
                <w:bCs/>
                <w:color w:val="000000" w:themeColor="text1"/>
                <w:sz w:val="22"/>
                <w:szCs w:val="22"/>
              </w:rPr>
              <w:t>Senthicom</w:t>
            </w:r>
          </w:p>
        </w:tc>
        <w:tc>
          <w:tcPr>
            <w:tcW w:w="2616" w:type="dxa"/>
            <w:vAlign w:val="center"/>
          </w:tcPr>
          <w:p w14:paraId="379000D3" w14:textId="77777777" w:rsidR="000654CE" w:rsidRDefault="00000000">
            <w:pPr>
              <w:pStyle w:val="ListParagraph"/>
              <w:widowControl w:val="0"/>
              <w:spacing w:line="276" w:lineRule="auto"/>
              <w:ind w:left="157"/>
              <w:jc w:val="both"/>
              <w:rPr>
                <w:rFonts w:ascii="Trebuchet MS" w:hAnsi="Trebuchet MS"/>
                <w:bCs/>
                <w:color w:val="000000" w:themeColor="text1"/>
                <w:sz w:val="22"/>
                <w:szCs w:val="22"/>
              </w:rPr>
            </w:pPr>
            <w:r>
              <w:rPr>
                <w:rFonts w:ascii="Trebuchet MS" w:eastAsia="Calibri" w:hAnsi="Trebuchet MS"/>
                <w:bCs/>
                <w:color w:val="000000" w:themeColor="text1"/>
                <w:sz w:val="22"/>
                <w:szCs w:val="22"/>
              </w:rPr>
              <w:t>NXP Semiconductors Romania  SRL</w:t>
            </w:r>
          </w:p>
        </w:tc>
        <w:tc>
          <w:tcPr>
            <w:tcW w:w="3723" w:type="dxa"/>
            <w:vAlign w:val="center"/>
          </w:tcPr>
          <w:p w14:paraId="2A7C6FF4" w14:textId="77777777" w:rsidR="000654CE" w:rsidRDefault="00000000">
            <w:pPr>
              <w:pStyle w:val="ListParagraph"/>
              <w:widowControl w:val="0"/>
              <w:spacing w:line="276" w:lineRule="auto"/>
              <w:ind w:left="157"/>
              <w:jc w:val="center"/>
              <w:rPr>
                <w:rFonts w:ascii="Trebuchet MS" w:hAnsi="Trebuchet MS"/>
                <w:bCs/>
                <w:color w:val="000000" w:themeColor="text1"/>
                <w:sz w:val="22"/>
                <w:szCs w:val="22"/>
              </w:rPr>
            </w:pPr>
            <w:r>
              <w:rPr>
                <w:rFonts w:ascii="Trebuchet MS" w:eastAsia="Calibri" w:hAnsi="Trebuchet MS"/>
                <w:bCs/>
                <w:color w:val="000000" w:themeColor="text1"/>
                <w:sz w:val="22"/>
                <w:szCs w:val="22"/>
              </w:rPr>
              <w:t>86,52</w:t>
            </w:r>
          </w:p>
        </w:tc>
      </w:tr>
      <w:tr w:rsidR="000654CE" w14:paraId="33DE1EC2" w14:textId="77777777">
        <w:trPr>
          <w:trHeight w:val="611"/>
        </w:trPr>
        <w:tc>
          <w:tcPr>
            <w:tcW w:w="3413" w:type="dxa"/>
            <w:tcBorders>
              <w:right w:val="nil"/>
            </w:tcBorders>
            <w:vAlign w:val="center"/>
          </w:tcPr>
          <w:p w14:paraId="572B0644" w14:textId="77777777" w:rsidR="000654CE" w:rsidRDefault="00000000">
            <w:pPr>
              <w:pStyle w:val="ListParagraph"/>
              <w:widowControl w:val="0"/>
              <w:spacing w:line="276" w:lineRule="auto"/>
              <w:ind w:left="990"/>
              <w:jc w:val="both"/>
              <w:rPr>
                <w:rFonts w:ascii="Trebuchet MS" w:hAnsi="Trebuchet MS"/>
                <w:b/>
                <w:color w:val="000000" w:themeColor="text1"/>
                <w:sz w:val="22"/>
                <w:szCs w:val="22"/>
              </w:rPr>
            </w:pPr>
            <w:r>
              <w:rPr>
                <w:rFonts w:ascii="Trebuchet MS" w:eastAsia="Calibri" w:hAnsi="Trebuchet MS"/>
                <w:b/>
                <w:color w:val="000000" w:themeColor="text1"/>
                <w:sz w:val="22"/>
                <w:szCs w:val="22"/>
              </w:rPr>
              <w:t>TOTAL</w:t>
            </w:r>
          </w:p>
        </w:tc>
        <w:tc>
          <w:tcPr>
            <w:tcW w:w="2616" w:type="dxa"/>
            <w:tcBorders>
              <w:left w:val="nil"/>
            </w:tcBorders>
            <w:vAlign w:val="center"/>
          </w:tcPr>
          <w:p w14:paraId="289C4EF3" w14:textId="77777777" w:rsidR="000654CE" w:rsidRDefault="000654CE">
            <w:pPr>
              <w:pStyle w:val="ListParagraph"/>
              <w:widowControl w:val="0"/>
              <w:spacing w:line="276" w:lineRule="auto"/>
              <w:ind w:left="990"/>
              <w:jc w:val="both"/>
              <w:rPr>
                <w:rFonts w:ascii="Trebuchet MS" w:hAnsi="Trebuchet MS"/>
                <w:b/>
                <w:color w:val="000000" w:themeColor="text1"/>
                <w:sz w:val="22"/>
                <w:szCs w:val="22"/>
              </w:rPr>
            </w:pPr>
          </w:p>
        </w:tc>
        <w:tc>
          <w:tcPr>
            <w:tcW w:w="3723" w:type="dxa"/>
            <w:vAlign w:val="center"/>
          </w:tcPr>
          <w:p w14:paraId="0F8D8E81" w14:textId="77777777" w:rsidR="000654CE" w:rsidRDefault="000654CE">
            <w:pPr>
              <w:pStyle w:val="ListParagraph"/>
              <w:widowControl w:val="0"/>
              <w:spacing w:line="276" w:lineRule="auto"/>
              <w:ind w:left="990"/>
              <w:jc w:val="center"/>
              <w:rPr>
                <w:rFonts w:ascii="Trebuchet MS" w:hAnsi="Trebuchet MS"/>
                <w:b/>
                <w:color w:val="000000" w:themeColor="text1"/>
                <w:sz w:val="22"/>
                <w:szCs w:val="22"/>
              </w:rPr>
            </w:pPr>
          </w:p>
          <w:p w14:paraId="44A0B69E" w14:textId="77777777" w:rsidR="000654CE" w:rsidRDefault="00000000" w:rsidP="00D61223">
            <w:pPr>
              <w:widowControl w:val="0"/>
              <w:spacing w:line="276" w:lineRule="auto"/>
              <w:jc w:val="center"/>
              <w:rPr>
                <w:rFonts w:ascii="Trebuchet MS" w:hAnsi="Trebuchet MS"/>
                <w:b/>
                <w:color w:val="000000" w:themeColor="text1"/>
                <w:sz w:val="22"/>
                <w:szCs w:val="22"/>
              </w:rPr>
            </w:pPr>
            <w:r>
              <w:rPr>
                <w:rFonts w:ascii="Trebuchet MS" w:eastAsia="Calibri" w:hAnsi="Trebuchet MS"/>
                <w:b/>
                <w:color w:val="000000" w:themeColor="text1"/>
                <w:sz w:val="22"/>
                <w:szCs w:val="22"/>
              </w:rPr>
              <w:t>195,63</w:t>
            </w:r>
          </w:p>
          <w:p w14:paraId="648A9760" w14:textId="77777777" w:rsidR="000654CE" w:rsidRDefault="000654CE">
            <w:pPr>
              <w:pStyle w:val="ListParagraph"/>
              <w:widowControl w:val="0"/>
              <w:spacing w:line="276" w:lineRule="auto"/>
              <w:ind w:left="990"/>
              <w:jc w:val="center"/>
              <w:rPr>
                <w:rFonts w:ascii="Trebuchet MS" w:hAnsi="Trebuchet MS"/>
                <w:b/>
                <w:color w:val="000000" w:themeColor="text1"/>
                <w:sz w:val="22"/>
                <w:szCs w:val="22"/>
              </w:rPr>
            </w:pPr>
          </w:p>
        </w:tc>
      </w:tr>
    </w:tbl>
    <w:p w14:paraId="491B2848" w14:textId="3ECB4FB4" w:rsidR="000654CE" w:rsidRDefault="009C629E" w:rsidP="00D61223">
      <w:pPr>
        <w:tabs>
          <w:tab w:val="left" w:pos="990"/>
        </w:tabs>
        <w:spacing w:before="120" w:after="120" w:line="276" w:lineRule="auto"/>
        <w:ind w:left="720" w:hanging="720"/>
        <w:jc w:val="both"/>
        <w:rPr>
          <w:rFonts w:ascii="Trebuchet MS" w:hAnsi="Trebuchet MS"/>
          <w:sz w:val="22"/>
          <w:szCs w:val="22"/>
        </w:rPr>
      </w:pPr>
      <w:r>
        <w:rPr>
          <w:rFonts w:ascii="Trebuchet MS" w:hAnsi="Trebuchet MS"/>
          <w:sz w:val="22"/>
          <w:szCs w:val="22"/>
        </w:rPr>
        <w:tab/>
        <w:t xml:space="preserve">Ajutoarele de stat individuale se acordă în lei, la cursul de schimb InforEuro valabil la data acordării ajutoarelor de stat, respectiv data semnării contractelor de finanțare.   </w:t>
      </w:r>
    </w:p>
    <w:p w14:paraId="655BEE8E" w14:textId="04B52F74" w:rsidR="000654CE" w:rsidRDefault="00B35115">
      <w:pPr>
        <w:spacing w:before="120" w:after="120" w:line="276" w:lineRule="auto"/>
        <w:ind w:left="720"/>
        <w:jc w:val="both"/>
        <w:rPr>
          <w:rFonts w:ascii="Trebuchet MS" w:hAnsi="Trebuchet MS"/>
          <w:sz w:val="22"/>
          <w:szCs w:val="22"/>
        </w:rPr>
      </w:pPr>
      <w:r>
        <w:rPr>
          <w:rFonts w:ascii="Trebuchet MS" w:eastAsia="Times New Roman" w:hAnsi="Trebuchet MS" w:cs="Times New Roman"/>
          <w:color w:val="000000"/>
          <w:bdr w:val="none" w:sz="0" w:space="0" w:color="auto" w:frame="1"/>
          <w:shd w:val="clear" w:color="auto" w:fill="FFFFFF"/>
        </w:rPr>
        <w:t xml:space="preserve">Suplimentar față de </w:t>
      </w:r>
      <w:r w:rsidR="006747FD">
        <w:rPr>
          <w:rFonts w:ascii="Trebuchet MS" w:eastAsia="Times New Roman" w:hAnsi="Trebuchet MS" w:cs="Times New Roman"/>
          <w:color w:val="000000"/>
          <w:bdr w:val="none" w:sz="0" w:space="0" w:color="auto" w:frame="1"/>
          <w:shd w:val="clear" w:color="auto" w:fill="FFFFFF"/>
        </w:rPr>
        <w:t xml:space="preserve">criteriile de eligibilitate pe care PD le-au îndeplinit pentru selecția în </w:t>
      </w:r>
      <w:r w:rsidR="006747FD">
        <w:rPr>
          <w:rFonts w:ascii="Trebuchet MS" w:hAnsi="Trebuchet MS"/>
          <w:sz w:val="22"/>
          <w:szCs w:val="22"/>
        </w:rPr>
        <w:t>conformitate cu Decizia Comisiei Europene C(2023) 3817 din 08.06.2023</w:t>
      </w:r>
      <w:r>
        <w:rPr>
          <w:rFonts w:ascii="Trebuchet MS" w:eastAsia="Times New Roman" w:hAnsi="Trebuchet MS" w:cs="Times New Roman"/>
          <w:color w:val="000000"/>
          <w:bdr w:val="none" w:sz="0" w:space="0" w:color="auto" w:frame="1"/>
          <w:shd w:val="clear" w:color="auto" w:fill="FFFFFF"/>
        </w:rPr>
        <w:t xml:space="preserve">, </w:t>
      </w:r>
      <w:r w:rsidR="006747FD">
        <w:rPr>
          <w:rFonts w:ascii="Trebuchet MS" w:hAnsi="Trebuchet MS"/>
          <w:sz w:val="22"/>
          <w:szCs w:val="22"/>
        </w:rPr>
        <w:t>aceștia</w:t>
      </w:r>
      <w:r>
        <w:rPr>
          <w:rFonts w:ascii="Trebuchet MS" w:hAnsi="Trebuchet MS"/>
          <w:sz w:val="22"/>
          <w:szCs w:val="22"/>
        </w:rPr>
        <w:t xml:space="preserve"> trebuie să demonstreze că: </w:t>
      </w:r>
    </w:p>
    <w:p w14:paraId="12DBBA6B" w14:textId="77777777" w:rsidR="000654CE" w:rsidRDefault="00000000">
      <w:pPr>
        <w:pStyle w:val="ListParagraph"/>
        <w:numPr>
          <w:ilvl w:val="0"/>
          <w:numId w:val="10"/>
        </w:numPr>
        <w:spacing w:before="120" w:after="120" w:line="276" w:lineRule="auto"/>
        <w:jc w:val="both"/>
        <w:rPr>
          <w:rFonts w:ascii="Trebuchet MS" w:hAnsi="Trebuchet MS"/>
          <w:sz w:val="22"/>
          <w:szCs w:val="22"/>
        </w:rPr>
      </w:pPr>
      <w:r>
        <w:rPr>
          <w:rFonts w:ascii="Trebuchet MS" w:hAnsi="Trebuchet MS"/>
          <w:sz w:val="22"/>
          <w:szCs w:val="22"/>
        </w:rPr>
        <w:t>Dispun de cofinanțare pentru implementarea proiectului;</w:t>
      </w:r>
    </w:p>
    <w:p w14:paraId="128B65E1" w14:textId="127CB794" w:rsidR="000654CE" w:rsidRDefault="00000000">
      <w:pPr>
        <w:pStyle w:val="ListParagraph"/>
        <w:numPr>
          <w:ilvl w:val="0"/>
          <w:numId w:val="10"/>
        </w:numPr>
        <w:spacing w:before="120" w:after="120" w:line="276" w:lineRule="auto"/>
        <w:jc w:val="both"/>
        <w:rPr>
          <w:rFonts w:ascii="Trebuchet MS" w:hAnsi="Trebuchet MS"/>
          <w:sz w:val="22"/>
          <w:szCs w:val="22"/>
        </w:rPr>
      </w:pPr>
      <w:r>
        <w:rPr>
          <w:rFonts w:ascii="Trebuchet MS" w:hAnsi="Trebuchet MS"/>
          <w:sz w:val="22"/>
          <w:szCs w:val="22"/>
        </w:rPr>
        <w:t>Dețin dreptul de proprietate/de administrare/de concesiune a terenului și, după caz, proprietatea, concesiunea, administrarea sau închirierea clădirii unde se implementează investiția, pe durata implementării și a sustenabilității proiectului;</w:t>
      </w:r>
    </w:p>
    <w:p w14:paraId="08D01566" w14:textId="559B61A3" w:rsidR="000654CE" w:rsidRPr="005541FD" w:rsidRDefault="00000000">
      <w:pPr>
        <w:pStyle w:val="ListParagraph"/>
        <w:numPr>
          <w:ilvl w:val="0"/>
          <w:numId w:val="10"/>
        </w:numPr>
        <w:spacing w:before="120" w:after="120" w:line="276" w:lineRule="auto"/>
        <w:jc w:val="both"/>
        <w:rPr>
          <w:rFonts w:ascii="Trebuchet MS" w:hAnsi="Trebuchet MS"/>
          <w:sz w:val="22"/>
          <w:szCs w:val="22"/>
        </w:rPr>
      </w:pPr>
      <w:r w:rsidRPr="005541FD">
        <w:rPr>
          <w:rFonts w:ascii="Trebuchet MS" w:hAnsi="Trebuchet MS"/>
          <w:sz w:val="22"/>
          <w:szCs w:val="22"/>
        </w:rPr>
        <w:t>Au participat la cel puțin o cerere de proiecte ale KDT JU / Chips JU;</w:t>
      </w:r>
    </w:p>
    <w:p w14:paraId="31D1A76C" w14:textId="77777777" w:rsidR="000654CE" w:rsidRDefault="00000000">
      <w:pPr>
        <w:pStyle w:val="ListParagraph"/>
        <w:numPr>
          <w:ilvl w:val="0"/>
          <w:numId w:val="10"/>
        </w:numPr>
        <w:spacing w:before="120" w:after="120" w:line="276" w:lineRule="auto"/>
        <w:jc w:val="both"/>
        <w:rPr>
          <w:rFonts w:ascii="Trebuchet MS" w:hAnsi="Trebuchet MS"/>
          <w:sz w:val="22"/>
          <w:szCs w:val="22"/>
        </w:rPr>
      </w:pPr>
      <w:r>
        <w:rPr>
          <w:rFonts w:ascii="Trebuchet MS" w:hAnsi="Trebuchet MS"/>
          <w:sz w:val="22"/>
          <w:szCs w:val="22"/>
        </w:rPr>
        <w:t>Respectă prezentul ghid și / sau instrucțiunile emise de MIPE și MEAT.</w:t>
      </w:r>
    </w:p>
    <w:p w14:paraId="5310AB02" w14:textId="6CE92BA8" w:rsidR="000654CE" w:rsidRDefault="00000000">
      <w:pPr>
        <w:spacing w:before="120" w:after="120" w:line="276" w:lineRule="auto"/>
        <w:ind w:left="720"/>
        <w:jc w:val="both"/>
        <w:rPr>
          <w:rFonts w:ascii="Trebuchet MS" w:hAnsi="Trebuchet MS"/>
          <w:sz w:val="22"/>
          <w:szCs w:val="22"/>
        </w:rPr>
      </w:pPr>
      <w:r>
        <w:rPr>
          <w:rFonts w:ascii="Trebuchet MS" w:hAnsi="Trebuchet MS"/>
          <w:sz w:val="22"/>
          <w:szCs w:val="22"/>
        </w:rPr>
        <w:t xml:space="preserve">În înțelesul prezentului ghid, deținerea dreptului de administrare poate fi dovedită inclusiv prin </w:t>
      </w:r>
      <w:r w:rsidR="00D139AF">
        <w:rPr>
          <w:rFonts w:ascii="Trebuchet MS" w:hAnsi="Trebuchet MS"/>
          <w:sz w:val="22"/>
          <w:szCs w:val="22"/>
        </w:rPr>
        <w:t xml:space="preserve">acte de dobîndire a dreptului de superficie sau prin </w:t>
      </w:r>
      <w:r>
        <w:rPr>
          <w:rFonts w:ascii="Trebuchet MS" w:hAnsi="Trebuchet MS"/>
          <w:sz w:val="22"/>
          <w:szCs w:val="22"/>
        </w:rPr>
        <w:t>contracte de închir</w:t>
      </w:r>
      <w:r w:rsidR="00CB1AD9">
        <w:rPr>
          <w:rFonts w:ascii="Trebuchet MS" w:hAnsi="Trebuchet MS"/>
          <w:sz w:val="22"/>
          <w:szCs w:val="22"/>
        </w:rPr>
        <w:t>i</w:t>
      </w:r>
      <w:r>
        <w:rPr>
          <w:rFonts w:ascii="Trebuchet MS" w:hAnsi="Trebuchet MS"/>
          <w:sz w:val="22"/>
          <w:szCs w:val="22"/>
        </w:rPr>
        <w:t>ere a terenului sau a clădirii.</w:t>
      </w:r>
    </w:p>
    <w:p w14:paraId="29471CE3" w14:textId="02645424" w:rsidR="00ED1CC4" w:rsidRDefault="00ED1CC4" w:rsidP="00ED1CC4">
      <w:pPr>
        <w:spacing w:before="120" w:after="120" w:line="276" w:lineRule="auto"/>
        <w:ind w:left="720"/>
        <w:jc w:val="both"/>
        <w:rPr>
          <w:rFonts w:ascii="Trebuchet MS" w:hAnsi="Trebuchet MS"/>
          <w:sz w:val="22"/>
          <w:szCs w:val="22"/>
        </w:rPr>
      </w:pPr>
      <w:r>
        <w:rPr>
          <w:rFonts w:ascii="Trebuchet MS" w:hAnsi="Trebuchet MS"/>
          <w:sz w:val="22"/>
          <w:szCs w:val="22"/>
        </w:rPr>
        <w:t xml:space="preserve">PD demonstrează că dispun de cofinanțare prin semnarea Declarației de angajament </w:t>
      </w:r>
      <w:r w:rsidR="00C72072">
        <w:rPr>
          <w:rFonts w:ascii="Trebuchet MS" w:hAnsi="Trebuchet MS"/>
          <w:sz w:val="22"/>
          <w:szCs w:val="22"/>
        </w:rPr>
        <w:t xml:space="preserve">- </w:t>
      </w:r>
      <w:r>
        <w:rPr>
          <w:rFonts w:ascii="Trebuchet MS" w:hAnsi="Trebuchet MS"/>
          <w:sz w:val="22"/>
          <w:szCs w:val="22"/>
        </w:rPr>
        <w:t xml:space="preserve">Anexa </w:t>
      </w:r>
      <w:r w:rsidR="00C54A0B">
        <w:rPr>
          <w:rFonts w:ascii="Trebuchet MS" w:hAnsi="Trebuchet MS"/>
          <w:sz w:val="22"/>
          <w:szCs w:val="22"/>
        </w:rPr>
        <w:t>2</w:t>
      </w:r>
      <w:r>
        <w:rPr>
          <w:rFonts w:ascii="Trebuchet MS" w:hAnsi="Trebuchet MS"/>
          <w:sz w:val="22"/>
          <w:szCs w:val="22"/>
        </w:rPr>
        <w:t>.</w:t>
      </w:r>
      <w:r w:rsidR="00C72072">
        <w:rPr>
          <w:rFonts w:ascii="Trebuchet MS" w:hAnsi="Trebuchet MS"/>
          <w:sz w:val="22"/>
          <w:szCs w:val="22"/>
        </w:rPr>
        <w:t xml:space="preserve"> </w:t>
      </w:r>
      <w:r>
        <w:rPr>
          <w:rFonts w:ascii="Trebuchet MS" w:hAnsi="Trebuchet MS"/>
          <w:sz w:val="22"/>
          <w:szCs w:val="22"/>
        </w:rPr>
        <w:t>Model A.</w:t>
      </w:r>
    </w:p>
    <w:p w14:paraId="42C6AF70" w14:textId="77777777" w:rsidR="000654CE" w:rsidRDefault="00000000" w:rsidP="00D61223">
      <w:pPr>
        <w:spacing w:before="120" w:line="276" w:lineRule="auto"/>
        <w:ind w:left="720"/>
        <w:jc w:val="both"/>
        <w:rPr>
          <w:rFonts w:ascii="Trebuchet MS" w:hAnsi="Trebuchet MS"/>
          <w:sz w:val="22"/>
          <w:szCs w:val="22"/>
        </w:rPr>
      </w:pPr>
      <w:r w:rsidRPr="002B27FB">
        <w:rPr>
          <w:rFonts w:ascii="Trebuchet MS" w:hAnsi="Trebuchet MS"/>
          <w:sz w:val="22"/>
          <w:szCs w:val="22"/>
        </w:rPr>
        <w:t>Totodată, participanții direcți respectă condițiile Deciziei C(2023) 3817/8.06.2023 și se asigură că:</w:t>
      </w:r>
      <w:r>
        <w:rPr>
          <w:rFonts w:ascii="Trebuchet MS" w:hAnsi="Trebuchet MS"/>
          <w:sz w:val="22"/>
          <w:szCs w:val="22"/>
        </w:rPr>
        <w:t xml:space="preserve"> </w:t>
      </w:r>
    </w:p>
    <w:p w14:paraId="07A7DECA" w14:textId="4BF987AE" w:rsidR="000654CE" w:rsidRDefault="00000000" w:rsidP="00D61223">
      <w:pPr>
        <w:pStyle w:val="ListParagraph"/>
        <w:numPr>
          <w:ilvl w:val="0"/>
          <w:numId w:val="16"/>
        </w:numPr>
        <w:spacing w:before="120" w:line="276" w:lineRule="auto"/>
        <w:jc w:val="both"/>
        <w:rPr>
          <w:rFonts w:ascii="Trebuchet MS" w:hAnsi="Trebuchet MS"/>
          <w:sz w:val="22"/>
          <w:szCs w:val="22"/>
        </w:rPr>
      </w:pPr>
      <w:r>
        <w:rPr>
          <w:rFonts w:ascii="Trebuchet MS" w:hAnsi="Trebuchet MS"/>
          <w:sz w:val="22"/>
          <w:szCs w:val="22"/>
        </w:rPr>
        <w:t>Nu sunt</w:t>
      </w:r>
      <w:r w:rsidRPr="00D61223">
        <w:rPr>
          <w:rFonts w:ascii="Trebuchet MS" w:hAnsi="Trebuchet MS"/>
          <w:sz w:val="22"/>
          <w:szCs w:val="22"/>
        </w:rPr>
        <w:t xml:space="preserve"> întreprindere în dificultate la data acordării ajutorului de stat individual, așa cum este definită aceasta potrivit art. 2 pct. 18 din Regulamentul (UE) nr. 651/2014;</w:t>
      </w:r>
    </w:p>
    <w:p w14:paraId="6F446478" w14:textId="34FD756C" w:rsidR="000654CE" w:rsidRDefault="00000000" w:rsidP="00D61223">
      <w:pPr>
        <w:pStyle w:val="ListParagraph"/>
        <w:numPr>
          <w:ilvl w:val="0"/>
          <w:numId w:val="16"/>
        </w:numPr>
        <w:spacing w:before="120" w:after="120" w:line="276" w:lineRule="auto"/>
        <w:jc w:val="both"/>
        <w:rPr>
          <w:rFonts w:ascii="Trebuchet MS" w:hAnsi="Trebuchet MS"/>
          <w:sz w:val="22"/>
          <w:szCs w:val="22"/>
        </w:rPr>
      </w:pPr>
      <w:r>
        <w:rPr>
          <w:rFonts w:ascii="Trebuchet MS" w:hAnsi="Trebuchet MS"/>
          <w:sz w:val="22"/>
          <w:szCs w:val="22"/>
        </w:rPr>
        <w:t xml:space="preserve">Nu </w:t>
      </w:r>
      <w:r w:rsidRPr="00D61223">
        <w:rPr>
          <w:rFonts w:ascii="Trebuchet MS" w:hAnsi="Trebuchet MS"/>
          <w:sz w:val="22"/>
          <w:szCs w:val="22"/>
        </w:rPr>
        <w:t>fac obiectul unei decizii de recuperare, emisă de către un furnizor de ajutor, de către Comisia Europeană sau de către Consiliul Concurenței din România, în urma căreia nu au rambursat respectivul ajutor și dobânda aferentă;</w:t>
      </w:r>
    </w:p>
    <w:p w14:paraId="2DCF4635" w14:textId="64E51110" w:rsidR="000654CE" w:rsidRDefault="00000000">
      <w:pPr>
        <w:pStyle w:val="ListParagraph"/>
        <w:numPr>
          <w:ilvl w:val="0"/>
          <w:numId w:val="16"/>
        </w:numPr>
        <w:spacing w:before="120" w:after="120" w:line="276" w:lineRule="auto"/>
        <w:jc w:val="both"/>
        <w:rPr>
          <w:rFonts w:ascii="Trebuchet MS" w:hAnsi="Trebuchet MS"/>
          <w:sz w:val="22"/>
          <w:szCs w:val="22"/>
        </w:rPr>
      </w:pPr>
      <w:r>
        <w:rPr>
          <w:rFonts w:ascii="Trebuchet MS" w:hAnsi="Trebuchet MS"/>
          <w:sz w:val="22"/>
          <w:szCs w:val="22"/>
        </w:rPr>
        <w:t xml:space="preserve">Nu au </w:t>
      </w:r>
      <w:r w:rsidRPr="00D61223">
        <w:rPr>
          <w:rFonts w:ascii="Trebuchet MS" w:hAnsi="Trebuchet MS"/>
          <w:sz w:val="22"/>
          <w:szCs w:val="22"/>
        </w:rPr>
        <w:t>efectuat o relocare, în sensul definiției din Regulamentul (UE) nr. 651/2014, cu modificările și completările ulterioare, către unitatea în care urmează să aibă loc investiția pentru care a solicitat ajutorul, în cei doi ani anteriori depunerii cererii d</w:t>
      </w:r>
      <w:r>
        <w:rPr>
          <w:rFonts w:ascii="Trebuchet MS" w:hAnsi="Trebuchet MS"/>
          <w:sz w:val="22"/>
          <w:szCs w:val="22"/>
        </w:rPr>
        <w:t xml:space="preserve">e </w:t>
      </w:r>
      <w:r w:rsidRPr="00D61223">
        <w:rPr>
          <w:rFonts w:ascii="Trebuchet MS" w:hAnsi="Trebuchet MS"/>
          <w:sz w:val="22"/>
          <w:szCs w:val="22"/>
        </w:rPr>
        <w:t>finanțare</w:t>
      </w:r>
      <w:r>
        <w:rPr>
          <w:rFonts w:ascii="Trebuchet MS" w:hAnsi="Trebuchet MS"/>
          <w:sz w:val="22"/>
          <w:szCs w:val="22"/>
        </w:rPr>
        <w:t xml:space="preserve"> și prezintă un angajament ferm prin care își asumă faptul</w:t>
      </w:r>
      <w:r w:rsidRPr="00D61223">
        <w:rPr>
          <w:rFonts w:ascii="Trebuchet MS" w:hAnsi="Trebuchet MS"/>
          <w:sz w:val="22"/>
          <w:szCs w:val="22"/>
        </w:rPr>
        <w:t xml:space="preserve"> că nu va </w:t>
      </w:r>
      <w:r>
        <w:rPr>
          <w:rFonts w:ascii="Trebuchet MS" w:hAnsi="Trebuchet MS"/>
          <w:sz w:val="22"/>
          <w:szCs w:val="22"/>
        </w:rPr>
        <w:t xml:space="preserve">efectua nicio relocare </w:t>
      </w:r>
      <w:r w:rsidRPr="00D61223">
        <w:rPr>
          <w:rFonts w:ascii="Trebuchet MS" w:hAnsi="Trebuchet MS"/>
          <w:sz w:val="22"/>
          <w:szCs w:val="22"/>
        </w:rPr>
        <w:t>pentru o perioadă de până la doi ani după finalizarea investiției inițiale pentru care se solicită ajutorul</w:t>
      </w:r>
      <w:r>
        <w:rPr>
          <w:rFonts w:ascii="Trebuchet MS" w:hAnsi="Trebuchet MS"/>
          <w:sz w:val="22"/>
          <w:szCs w:val="22"/>
        </w:rPr>
        <w:t>.</w:t>
      </w:r>
    </w:p>
    <w:p w14:paraId="4ED37A85" w14:textId="362C23E9" w:rsidR="000654CE" w:rsidRPr="0066640C" w:rsidRDefault="002B27FB" w:rsidP="0066640C">
      <w:pPr>
        <w:spacing w:before="120" w:after="120" w:line="276" w:lineRule="auto"/>
        <w:ind w:left="720"/>
        <w:jc w:val="both"/>
        <w:rPr>
          <w:rFonts w:ascii="Trebuchet MS" w:hAnsi="Trebuchet MS"/>
          <w:sz w:val="22"/>
          <w:szCs w:val="22"/>
        </w:rPr>
      </w:pPr>
      <w:r>
        <w:rPr>
          <w:rFonts w:ascii="Trebuchet MS" w:hAnsi="Trebuchet MS"/>
          <w:sz w:val="22"/>
          <w:szCs w:val="22"/>
        </w:rPr>
        <w:t>PD au o obligația de a încheia acorduri de colaborare efectivă cu entitățile având calitatea de participanți indirecți cu care au încheiat scrisori</w:t>
      </w:r>
      <w:r w:rsidR="00AD4DA9">
        <w:rPr>
          <w:rFonts w:ascii="Trebuchet MS" w:hAnsi="Trebuchet MS"/>
          <w:sz w:val="22"/>
          <w:szCs w:val="22"/>
        </w:rPr>
        <w:t>le</w:t>
      </w:r>
      <w:r>
        <w:rPr>
          <w:rFonts w:ascii="Trebuchet MS" w:hAnsi="Trebuchet MS"/>
          <w:sz w:val="22"/>
          <w:szCs w:val="22"/>
        </w:rPr>
        <w:t xml:space="preserve"> de intenție în cadrul </w:t>
      </w:r>
    </w:p>
    <w:p w14:paraId="22102938" w14:textId="77777777" w:rsidR="000654CE" w:rsidRDefault="00000000" w:rsidP="0066640C">
      <w:pPr>
        <w:spacing w:line="276" w:lineRule="auto"/>
        <w:ind w:left="720"/>
        <w:jc w:val="both"/>
        <w:rPr>
          <w:rFonts w:ascii="Trebuchet MS" w:hAnsi="Trebuchet MS"/>
          <w:sz w:val="22"/>
          <w:szCs w:val="22"/>
        </w:rPr>
      </w:pPr>
      <w:r>
        <w:rPr>
          <w:rFonts w:ascii="Trebuchet MS" w:hAnsi="Trebuchet MS"/>
          <w:sz w:val="22"/>
          <w:szCs w:val="22"/>
        </w:rPr>
        <w:t>Indicatorii de proiect sunt stabiliți în concordanță cu obiectivele asumate prin PNRR și privesc acțiunile care vizează îndeplinirea acestora în cadrul PIIEC. Indicatorii se împart în două categorii:</w:t>
      </w:r>
    </w:p>
    <w:p w14:paraId="610A0835" w14:textId="0FF5FD8F" w:rsidR="000654CE" w:rsidRDefault="00000000" w:rsidP="00D61223">
      <w:pPr>
        <w:pStyle w:val="ListParagraph"/>
        <w:numPr>
          <w:ilvl w:val="0"/>
          <w:numId w:val="8"/>
        </w:numPr>
        <w:spacing w:line="276" w:lineRule="auto"/>
        <w:jc w:val="both"/>
        <w:rPr>
          <w:rFonts w:ascii="Trebuchet MS" w:hAnsi="Trebuchet MS"/>
          <w:sz w:val="22"/>
          <w:szCs w:val="22"/>
        </w:rPr>
      </w:pPr>
      <w:r>
        <w:rPr>
          <w:rFonts w:ascii="Trebuchet MS" w:hAnsi="Trebuchet MS"/>
          <w:sz w:val="22"/>
          <w:szCs w:val="22"/>
        </w:rPr>
        <w:t>Indicatori prestabiliți (de realizare și de rezultat), reprezentați de indicatorii de program, asociați PNRR</w:t>
      </w:r>
      <w:r>
        <w:rPr>
          <w:rFonts w:ascii="Trebuchet MS" w:hAnsi="Trebuchet MS"/>
          <w:sz w:val="22"/>
          <w:szCs w:val="22"/>
          <w:lang w:val="en-US"/>
        </w:rPr>
        <w:t>;</w:t>
      </w:r>
    </w:p>
    <w:p w14:paraId="58E9C24D" w14:textId="77777777" w:rsidR="000654CE" w:rsidRDefault="00000000">
      <w:pPr>
        <w:pStyle w:val="ListParagraph"/>
        <w:numPr>
          <w:ilvl w:val="0"/>
          <w:numId w:val="8"/>
        </w:numPr>
        <w:spacing w:before="120" w:after="120" w:line="276" w:lineRule="auto"/>
        <w:jc w:val="both"/>
        <w:rPr>
          <w:rFonts w:ascii="Trebuchet MS" w:hAnsi="Trebuchet MS"/>
          <w:sz w:val="22"/>
          <w:szCs w:val="22"/>
        </w:rPr>
      </w:pPr>
      <w:r>
        <w:rPr>
          <w:rFonts w:ascii="Trebuchet MS" w:hAnsi="Trebuchet MS"/>
          <w:sz w:val="22"/>
          <w:szCs w:val="22"/>
        </w:rPr>
        <w:t>Indicatori suplimentari (de realizare și de rezultat), care sunt indicatori specifici ai proiectului.</w:t>
      </w:r>
    </w:p>
    <w:p w14:paraId="1ACFF724"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Atât indicatorii prestabiliți, cât și indicatorii suplimentari sunt de două tipuri:</w:t>
      </w:r>
    </w:p>
    <w:p w14:paraId="3748DA86" w14:textId="77777777" w:rsidR="000654CE" w:rsidRDefault="00000000">
      <w:pPr>
        <w:pStyle w:val="ListParagraph"/>
        <w:numPr>
          <w:ilvl w:val="0"/>
          <w:numId w:val="9"/>
        </w:numPr>
        <w:spacing w:before="120" w:after="120" w:line="276" w:lineRule="auto"/>
        <w:jc w:val="both"/>
        <w:rPr>
          <w:rFonts w:ascii="Trebuchet MS" w:hAnsi="Trebuchet MS"/>
          <w:sz w:val="22"/>
          <w:szCs w:val="22"/>
        </w:rPr>
      </w:pPr>
      <w:r>
        <w:rPr>
          <w:rFonts w:ascii="Trebuchet MS" w:hAnsi="Trebuchet MS"/>
          <w:sz w:val="22"/>
          <w:szCs w:val="22"/>
        </w:rPr>
        <w:t>indicatori de realizare, referitori la activitățile care sunt finanțate și a căror valoare țintă se măsoară la sfârșitul perioadei de implementare; valoarea indicatorilor de realizare se calculează la sfârșitul perioadei de implementare a proiectului;</w:t>
      </w:r>
    </w:p>
    <w:p w14:paraId="00F4143C" w14:textId="77777777" w:rsidR="000654CE" w:rsidRDefault="00000000">
      <w:pPr>
        <w:pStyle w:val="ListParagraph"/>
        <w:numPr>
          <w:ilvl w:val="0"/>
          <w:numId w:val="9"/>
        </w:numPr>
        <w:spacing w:before="120" w:after="120" w:line="276" w:lineRule="auto"/>
        <w:jc w:val="both"/>
        <w:rPr>
          <w:rFonts w:ascii="Trebuchet MS" w:hAnsi="Trebuchet MS"/>
          <w:sz w:val="22"/>
          <w:szCs w:val="22"/>
        </w:rPr>
      </w:pPr>
      <w:r>
        <w:rPr>
          <w:rFonts w:ascii="Trebuchet MS" w:hAnsi="Trebuchet MS"/>
          <w:sz w:val="22"/>
          <w:szCs w:val="22"/>
        </w:rPr>
        <w:t>indicatori de rezultat, care reprezintă rezultatele directe/avantajele pe care le obțin beneficiarii și a căror valoare se măsoară la sfârșitul perioadei de sustenabilitate.</w:t>
      </w:r>
    </w:p>
    <w:p w14:paraId="54A09776" w14:textId="50C1D4C7" w:rsidR="00875B01" w:rsidRPr="00875B01" w:rsidRDefault="00875B01" w:rsidP="00875B01">
      <w:pPr>
        <w:spacing w:line="276" w:lineRule="auto"/>
        <w:ind w:left="1350"/>
        <w:jc w:val="both"/>
        <w:rPr>
          <w:rFonts w:ascii="Trebuchet MS" w:hAnsi="Trebuchet MS"/>
          <w:sz w:val="22"/>
          <w:szCs w:val="22"/>
        </w:rPr>
      </w:pPr>
      <w:r>
        <w:rPr>
          <w:rFonts w:ascii="Trebuchet MS" w:hAnsi="Trebuchet MS"/>
          <w:sz w:val="22"/>
          <w:szCs w:val="22"/>
        </w:rPr>
        <w:t>Tabel 2 – Indicatori apel de proiecte</w:t>
      </w:r>
    </w:p>
    <w:tbl>
      <w:tblPr>
        <w:tblW w:w="9630" w:type="dxa"/>
        <w:tblInd w:w="1075" w:type="dxa"/>
        <w:tblLayout w:type="fixed"/>
        <w:tblLook w:val="04A0" w:firstRow="1" w:lastRow="0" w:firstColumn="1" w:lastColumn="0" w:noHBand="0" w:noVBand="1"/>
      </w:tblPr>
      <w:tblGrid>
        <w:gridCol w:w="935"/>
        <w:gridCol w:w="5946"/>
        <w:gridCol w:w="1760"/>
        <w:gridCol w:w="989"/>
      </w:tblGrid>
      <w:tr w:rsidR="000654CE" w14:paraId="60264E87" w14:textId="77777777">
        <w:trPr>
          <w:tblHeader/>
        </w:trPr>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8F533" w14:textId="77777777" w:rsidR="000654CE" w:rsidRDefault="000654CE">
            <w:pPr>
              <w:pStyle w:val="ListParagraph"/>
              <w:widowControl w:val="0"/>
              <w:rPr>
                <w:rFonts w:ascii="Trebuchet MS" w:hAnsi="Trebuchet MS" w:cs="Calibri"/>
                <w:b/>
                <w:sz w:val="20"/>
                <w:szCs w:val="20"/>
              </w:rPr>
            </w:pPr>
          </w:p>
          <w:p w14:paraId="08A3703C" w14:textId="77777777" w:rsidR="000654CE" w:rsidRDefault="00000000">
            <w:pPr>
              <w:keepNext/>
              <w:keepLines/>
              <w:widowControl w:val="0"/>
              <w:spacing w:line="276" w:lineRule="auto"/>
              <w:jc w:val="center"/>
              <w:rPr>
                <w:rFonts w:ascii="Trebuchet MS" w:hAnsi="Trebuchet MS" w:cs="Calibri"/>
                <w:b/>
                <w:sz w:val="20"/>
                <w:szCs w:val="20"/>
              </w:rPr>
            </w:pPr>
            <w:r>
              <w:rPr>
                <w:rFonts w:ascii="Trebuchet MS" w:hAnsi="Trebuchet MS" w:cs="Calibri"/>
                <w:b/>
                <w:sz w:val="20"/>
                <w:szCs w:val="20"/>
              </w:rPr>
              <w:t>Nr. crt.</w:t>
            </w:r>
          </w:p>
        </w:tc>
        <w:tc>
          <w:tcPr>
            <w:tcW w:w="5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57073" w14:textId="77777777" w:rsidR="000654CE" w:rsidRDefault="00000000">
            <w:pPr>
              <w:keepNext/>
              <w:keepLines/>
              <w:widowControl w:val="0"/>
              <w:spacing w:line="276" w:lineRule="auto"/>
              <w:jc w:val="center"/>
              <w:rPr>
                <w:rFonts w:ascii="Trebuchet MS" w:hAnsi="Trebuchet MS" w:cs="Calibri"/>
                <w:b/>
                <w:sz w:val="20"/>
                <w:szCs w:val="20"/>
              </w:rPr>
            </w:pPr>
            <w:r>
              <w:rPr>
                <w:rFonts w:ascii="Trebuchet MS" w:hAnsi="Trebuchet MS" w:cs="Calibri"/>
                <w:b/>
                <w:sz w:val="20"/>
                <w:szCs w:val="20"/>
              </w:rPr>
              <w:t>Denumire indicator</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7A1EA" w14:textId="77777777" w:rsidR="000654CE" w:rsidRDefault="00000000">
            <w:pPr>
              <w:keepNext/>
              <w:keepLines/>
              <w:widowControl w:val="0"/>
              <w:spacing w:line="276" w:lineRule="auto"/>
              <w:jc w:val="center"/>
              <w:rPr>
                <w:rFonts w:ascii="Trebuchet MS" w:hAnsi="Trebuchet MS" w:cs="Calibri"/>
                <w:b/>
                <w:sz w:val="20"/>
                <w:szCs w:val="20"/>
              </w:rPr>
            </w:pPr>
            <w:r>
              <w:rPr>
                <w:rFonts w:ascii="Trebuchet MS" w:hAnsi="Trebuchet MS"/>
                <w:sz w:val="20"/>
                <w:szCs w:val="20"/>
              </w:rPr>
              <w:t>Unitate de măsură</w:t>
            </w:r>
          </w:p>
        </w:tc>
        <w:tc>
          <w:tcPr>
            <w:tcW w:w="989" w:type="dxa"/>
            <w:tcBorders>
              <w:top w:val="single" w:sz="4" w:space="0" w:color="000000"/>
              <w:left w:val="single" w:sz="4" w:space="0" w:color="000000"/>
              <w:bottom w:val="single" w:sz="4" w:space="0" w:color="000000"/>
              <w:right w:val="single" w:sz="4" w:space="0" w:color="000000"/>
            </w:tcBorders>
            <w:vAlign w:val="center"/>
          </w:tcPr>
          <w:p w14:paraId="245B5DB2" w14:textId="77777777" w:rsidR="000654CE" w:rsidRDefault="00000000">
            <w:pPr>
              <w:keepNext/>
              <w:keepLines/>
              <w:widowControl w:val="0"/>
              <w:spacing w:line="276" w:lineRule="auto"/>
              <w:jc w:val="center"/>
              <w:rPr>
                <w:rFonts w:ascii="Trebuchet MS" w:hAnsi="Trebuchet MS" w:cs="Calibri"/>
                <w:b/>
                <w:sz w:val="20"/>
                <w:szCs w:val="20"/>
              </w:rPr>
            </w:pPr>
            <w:r>
              <w:rPr>
                <w:rFonts w:ascii="Trebuchet MS" w:hAnsi="Trebuchet MS"/>
                <w:sz w:val="20"/>
                <w:szCs w:val="20"/>
              </w:rPr>
              <w:t>Valoarea țintă</w:t>
            </w:r>
          </w:p>
        </w:tc>
      </w:tr>
      <w:tr w:rsidR="000654CE" w14:paraId="5946D594" w14:textId="77777777">
        <w:trPr>
          <w:trHeight w:val="346"/>
          <w:tblHeader/>
        </w:trPr>
        <w:tc>
          <w:tcPr>
            <w:tcW w:w="96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9F7B38" w14:textId="77777777" w:rsidR="000654CE" w:rsidRDefault="00000000">
            <w:pPr>
              <w:keepNext/>
              <w:keepLines/>
              <w:widowControl w:val="0"/>
              <w:spacing w:line="276" w:lineRule="auto"/>
              <w:jc w:val="both"/>
              <w:rPr>
                <w:rFonts w:ascii="Trebuchet MS" w:hAnsi="Trebuchet MS"/>
                <w:sz w:val="20"/>
                <w:szCs w:val="20"/>
              </w:rPr>
            </w:pPr>
            <w:bookmarkStart w:id="11" w:name="OLE_LINK1"/>
            <w:r>
              <w:rPr>
                <w:rFonts w:ascii="Trebuchet MS" w:hAnsi="Trebuchet MS"/>
                <w:b/>
                <w:sz w:val="20"/>
                <w:szCs w:val="20"/>
              </w:rPr>
              <w:t>Indicatori prestabiliți de realizare:</w:t>
            </w:r>
            <w:bookmarkEnd w:id="11"/>
          </w:p>
        </w:tc>
      </w:tr>
      <w:tr w:rsidR="000654CE" w14:paraId="2D9F5B13" w14:textId="77777777">
        <w:trPr>
          <w:trHeight w:val="508"/>
          <w:tblHeader/>
        </w:trPr>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C7E7D" w14:textId="77777777" w:rsidR="000654CE" w:rsidRDefault="000654CE">
            <w:pPr>
              <w:pStyle w:val="ListParagraph"/>
              <w:keepNext/>
              <w:keepLines/>
              <w:widowControl w:val="0"/>
              <w:numPr>
                <w:ilvl w:val="0"/>
                <w:numId w:val="6"/>
              </w:numPr>
              <w:tabs>
                <w:tab w:val="left" w:pos="157"/>
              </w:tabs>
              <w:spacing w:line="276" w:lineRule="auto"/>
              <w:ind w:left="180" w:hanging="218"/>
              <w:jc w:val="center"/>
              <w:rPr>
                <w:rFonts w:ascii="Trebuchet MS" w:hAnsi="Trebuchet MS" w:cs="Calibri"/>
                <w:bCs/>
                <w:sz w:val="20"/>
                <w:szCs w:val="20"/>
              </w:rPr>
            </w:pPr>
          </w:p>
        </w:tc>
        <w:tc>
          <w:tcPr>
            <w:tcW w:w="5945" w:type="dxa"/>
            <w:tcBorders>
              <w:top w:val="single" w:sz="4" w:space="0" w:color="000000"/>
              <w:left w:val="single" w:sz="4" w:space="0" w:color="000000"/>
              <w:bottom w:val="single" w:sz="4" w:space="0" w:color="000000"/>
              <w:right w:val="single" w:sz="4" w:space="0" w:color="000000"/>
            </w:tcBorders>
            <w:shd w:val="clear" w:color="auto" w:fill="auto"/>
          </w:tcPr>
          <w:p w14:paraId="7C0D2E37" w14:textId="77777777" w:rsidR="000654CE" w:rsidRDefault="00000000">
            <w:pPr>
              <w:widowControl w:val="0"/>
              <w:spacing w:line="276" w:lineRule="auto"/>
              <w:jc w:val="both"/>
              <w:rPr>
                <w:rFonts w:ascii="Trebuchet MS" w:hAnsi="Trebuchet MS" w:cs="Calibri"/>
                <w:b/>
                <w:sz w:val="20"/>
                <w:szCs w:val="20"/>
              </w:rPr>
            </w:pPr>
            <w:r>
              <w:rPr>
                <w:rFonts w:ascii="Trebuchet MS" w:hAnsi="Trebuchet MS"/>
                <w:iCs/>
                <w:sz w:val="20"/>
                <w:szCs w:val="20"/>
              </w:rPr>
              <w:t>Întreprinderi care participă în mod direct la un proiect important de interes european comun</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2E5A6" w14:textId="7000E9F4"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w:t>
            </w:r>
          </w:p>
        </w:tc>
        <w:tc>
          <w:tcPr>
            <w:tcW w:w="989" w:type="dxa"/>
            <w:tcBorders>
              <w:top w:val="single" w:sz="4" w:space="0" w:color="000000"/>
              <w:left w:val="single" w:sz="4" w:space="0" w:color="000000"/>
              <w:bottom w:val="single" w:sz="4" w:space="0" w:color="000000"/>
              <w:right w:val="single" w:sz="4" w:space="0" w:color="000000"/>
            </w:tcBorders>
          </w:tcPr>
          <w:p w14:paraId="0A20D9EA" w14:textId="77777777" w:rsidR="000654CE" w:rsidRDefault="000654CE">
            <w:pPr>
              <w:keepNext/>
              <w:keepLines/>
              <w:widowControl w:val="0"/>
              <w:spacing w:line="276" w:lineRule="auto"/>
              <w:jc w:val="center"/>
              <w:rPr>
                <w:rFonts w:ascii="Trebuchet MS" w:hAnsi="Trebuchet MS" w:cs="Calibri"/>
                <w:sz w:val="20"/>
                <w:szCs w:val="20"/>
              </w:rPr>
            </w:pPr>
          </w:p>
          <w:p w14:paraId="295499DC" w14:textId="77777777" w:rsidR="000654CE" w:rsidRDefault="00000000">
            <w:pPr>
              <w:widowControl w:val="0"/>
              <w:spacing w:line="276" w:lineRule="auto"/>
              <w:jc w:val="center"/>
              <w:rPr>
                <w:rFonts w:ascii="Trebuchet MS" w:hAnsi="Trebuchet MS" w:cs="Calibri"/>
                <w:sz w:val="20"/>
                <w:szCs w:val="20"/>
              </w:rPr>
            </w:pPr>
            <w:r>
              <w:rPr>
                <w:rFonts w:ascii="Trebuchet MS" w:hAnsi="Trebuchet MS" w:cs="Calibri"/>
                <w:sz w:val="20"/>
                <w:szCs w:val="20"/>
              </w:rPr>
              <w:t>1</w:t>
            </w:r>
          </w:p>
        </w:tc>
      </w:tr>
      <w:tr w:rsidR="000654CE" w14:paraId="669E8620" w14:textId="77777777">
        <w:trPr>
          <w:trHeight w:val="508"/>
          <w:tblHeader/>
        </w:trPr>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5ACAF" w14:textId="77777777" w:rsidR="000654CE" w:rsidRDefault="000654CE">
            <w:pPr>
              <w:pStyle w:val="ListParagraph"/>
              <w:keepNext/>
              <w:keepLines/>
              <w:widowControl w:val="0"/>
              <w:numPr>
                <w:ilvl w:val="0"/>
                <w:numId w:val="6"/>
              </w:numPr>
              <w:tabs>
                <w:tab w:val="left" w:pos="157"/>
              </w:tabs>
              <w:spacing w:line="276" w:lineRule="auto"/>
              <w:ind w:left="180" w:hanging="218"/>
              <w:jc w:val="center"/>
              <w:rPr>
                <w:rFonts w:ascii="Trebuchet MS" w:hAnsi="Trebuchet MS" w:cs="Calibri"/>
                <w:bCs/>
                <w:sz w:val="20"/>
                <w:szCs w:val="20"/>
              </w:rPr>
            </w:pPr>
          </w:p>
        </w:tc>
        <w:tc>
          <w:tcPr>
            <w:tcW w:w="5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EAC0A" w14:textId="77777777" w:rsidR="000654CE" w:rsidRDefault="00000000">
            <w:pPr>
              <w:widowControl w:val="0"/>
              <w:spacing w:line="276" w:lineRule="auto"/>
              <w:jc w:val="both"/>
              <w:rPr>
                <w:rFonts w:ascii="Trebuchet MS" w:hAnsi="Trebuchet MS" w:cs="Calibri"/>
                <w:b/>
                <w:sz w:val="20"/>
                <w:szCs w:val="20"/>
              </w:rPr>
            </w:pPr>
            <w:r>
              <w:rPr>
                <w:rFonts w:ascii="Trebuchet MS" w:hAnsi="Trebuchet MS"/>
                <w:iCs/>
                <w:sz w:val="20"/>
                <w:szCs w:val="20"/>
              </w:rPr>
              <w:t xml:space="preserve">Entități cu care se realizează colaborarea în cadrul PIIEC, având calitatea de participanți indirecți </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AB5C8"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w:t>
            </w:r>
          </w:p>
        </w:tc>
        <w:tc>
          <w:tcPr>
            <w:tcW w:w="989" w:type="dxa"/>
            <w:tcBorders>
              <w:top w:val="single" w:sz="4" w:space="0" w:color="000000"/>
              <w:left w:val="single" w:sz="4" w:space="0" w:color="000000"/>
              <w:bottom w:val="single" w:sz="4" w:space="0" w:color="000000"/>
              <w:right w:val="single" w:sz="4" w:space="0" w:color="000000"/>
            </w:tcBorders>
          </w:tcPr>
          <w:p w14:paraId="79AC6B55" w14:textId="77777777" w:rsidR="000654CE" w:rsidRDefault="000654CE">
            <w:pPr>
              <w:keepNext/>
              <w:keepLines/>
              <w:widowControl w:val="0"/>
              <w:spacing w:line="276" w:lineRule="auto"/>
              <w:jc w:val="center"/>
              <w:rPr>
                <w:rFonts w:ascii="Trebuchet MS" w:hAnsi="Trebuchet MS" w:cs="Calibri"/>
                <w:sz w:val="20"/>
                <w:szCs w:val="20"/>
              </w:rPr>
            </w:pPr>
          </w:p>
        </w:tc>
      </w:tr>
      <w:tr w:rsidR="000654CE" w14:paraId="27B22824" w14:textId="77777777">
        <w:trPr>
          <w:trHeight w:val="346"/>
          <w:tblHeader/>
        </w:trPr>
        <w:tc>
          <w:tcPr>
            <w:tcW w:w="96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C6957" w14:textId="77777777" w:rsidR="000654CE" w:rsidRDefault="00000000">
            <w:pPr>
              <w:widowControl w:val="0"/>
              <w:spacing w:line="276" w:lineRule="auto"/>
              <w:jc w:val="both"/>
              <w:rPr>
                <w:rFonts w:ascii="Trebuchet MS" w:hAnsi="Trebuchet MS" w:cs="Calibri"/>
                <w:b/>
                <w:sz w:val="20"/>
                <w:szCs w:val="20"/>
              </w:rPr>
            </w:pPr>
            <w:r>
              <w:rPr>
                <w:rFonts w:ascii="Trebuchet MS" w:hAnsi="Trebuchet MS"/>
                <w:b/>
                <w:sz w:val="20"/>
                <w:szCs w:val="20"/>
              </w:rPr>
              <w:t>Indicatori suplimentari de realizare:</w:t>
            </w:r>
            <w:r>
              <w:rPr>
                <w:rFonts w:ascii="Trebuchet MS" w:hAnsi="Trebuchet MS" w:cs="Calibri"/>
                <w:b/>
                <w:sz w:val="20"/>
                <w:szCs w:val="20"/>
              </w:rPr>
              <w:t xml:space="preserve"> </w:t>
            </w:r>
          </w:p>
        </w:tc>
      </w:tr>
      <w:tr w:rsidR="000654CE" w14:paraId="4A6B8EB0" w14:textId="77777777">
        <w:trPr>
          <w:trHeight w:val="1975"/>
          <w:tblHeader/>
        </w:trPr>
        <w:tc>
          <w:tcPr>
            <w:tcW w:w="9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BAB861" w14:textId="77777777" w:rsidR="000654CE" w:rsidRDefault="00000000">
            <w:pPr>
              <w:keepNext/>
              <w:keepLines/>
              <w:widowControl w:val="0"/>
              <w:spacing w:line="276" w:lineRule="auto"/>
              <w:jc w:val="center"/>
              <w:rPr>
                <w:rFonts w:ascii="Trebuchet MS" w:hAnsi="Trebuchet MS" w:cs="Calibri"/>
                <w:bCs/>
                <w:color w:val="FF0000"/>
                <w:sz w:val="20"/>
                <w:szCs w:val="20"/>
              </w:rPr>
            </w:pPr>
            <w:r>
              <w:rPr>
                <w:rFonts w:ascii="Trebuchet MS" w:hAnsi="Trebuchet MS" w:cs="Calibri"/>
                <w:bCs/>
                <w:sz w:val="20"/>
                <w:szCs w:val="20"/>
              </w:rPr>
              <w:t>3.</w:t>
            </w:r>
          </w:p>
        </w:tc>
        <w:tc>
          <w:tcPr>
            <w:tcW w:w="5945" w:type="dxa"/>
            <w:tcBorders>
              <w:top w:val="single" w:sz="4" w:space="0" w:color="000000"/>
              <w:left w:val="single" w:sz="4" w:space="0" w:color="000000"/>
              <w:bottom w:val="single" w:sz="4" w:space="0" w:color="000000"/>
              <w:right w:val="single" w:sz="4" w:space="0" w:color="000000"/>
            </w:tcBorders>
            <w:shd w:val="clear" w:color="auto" w:fill="auto"/>
          </w:tcPr>
          <w:p w14:paraId="2E405022"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3.1 Activități de diseminare a rezultatelor activităților de CDI și PUI obținute în cadrul proiectului PIIEC către organizații de cercetare și diseminare a cunoștințelor, inclusiv universități, prin:</w:t>
            </w:r>
          </w:p>
          <w:p w14:paraId="744EFB98" w14:textId="77777777" w:rsidR="000654CE" w:rsidRDefault="00000000">
            <w:pPr>
              <w:pStyle w:val="ListParagraph"/>
              <w:keepNext/>
              <w:keepLines/>
              <w:widowControl w:val="0"/>
              <w:numPr>
                <w:ilvl w:val="1"/>
                <w:numId w:val="7"/>
              </w:numPr>
              <w:spacing w:line="276" w:lineRule="auto"/>
              <w:jc w:val="both"/>
              <w:textAlignment w:val="baseline"/>
              <w:rPr>
                <w:rFonts w:ascii="Trebuchet MS" w:hAnsi="Trebuchet MS" w:cs="Calibri"/>
                <w:sz w:val="20"/>
                <w:szCs w:val="20"/>
              </w:rPr>
            </w:pPr>
            <w:r>
              <w:rPr>
                <w:rFonts w:ascii="Trebuchet MS" w:hAnsi="Trebuchet MS" w:cs="Calibri"/>
                <w:sz w:val="20"/>
                <w:szCs w:val="20"/>
              </w:rPr>
              <w:t xml:space="preserve">Contracte semnate </w:t>
            </w:r>
          </w:p>
          <w:p w14:paraId="1516EEDB" w14:textId="09E3AB21" w:rsidR="000654CE" w:rsidRDefault="00663567">
            <w:pPr>
              <w:pStyle w:val="ListParagraph"/>
              <w:keepNext/>
              <w:keepLines/>
              <w:widowControl w:val="0"/>
              <w:numPr>
                <w:ilvl w:val="1"/>
                <w:numId w:val="7"/>
              </w:numPr>
              <w:spacing w:line="276" w:lineRule="auto"/>
              <w:jc w:val="both"/>
              <w:textAlignment w:val="baseline"/>
              <w:rPr>
                <w:rFonts w:ascii="Trebuchet MS" w:hAnsi="Trebuchet MS"/>
                <w:sz w:val="20"/>
                <w:szCs w:val="20"/>
              </w:rPr>
            </w:pPr>
            <w:r>
              <w:rPr>
                <w:rFonts w:ascii="Trebuchet MS" w:hAnsi="Trebuchet MS" w:cs="Calibri"/>
                <w:sz w:val="20"/>
                <w:szCs w:val="20"/>
              </w:rPr>
              <w:t>Licențe oferite universităților și organizațiilor de cercetare</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2BD60C1F" w14:textId="77777777" w:rsidR="000654CE" w:rsidRDefault="000654CE">
            <w:pPr>
              <w:keepNext/>
              <w:keepLines/>
              <w:widowControl w:val="0"/>
              <w:spacing w:line="276" w:lineRule="auto"/>
              <w:jc w:val="both"/>
              <w:rPr>
                <w:rFonts w:ascii="Trebuchet MS" w:hAnsi="Trebuchet MS" w:cs="Calibri"/>
                <w:sz w:val="20"/>
                <w:szCs w:val="20"/>
              </w:rPr>
            </w:pPr>
          </w:p>
          <w:p w14:paraId="4D9BBC74"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(a+b)</w:t>
            </w:r>
          </w:p>
          <w:p w14:paraId="6A999B02" w14:textId="77777777" w:rsidR="000654CE" w:rsidRDefault="000654CE">
            <w:pPr>
              <w:widowControl w:val="0"/>
              <w:spacing w:line="276" w:lineRule="auto"/>
              <w:jc w:val="both"/>
              <w:rPr>
                <w:rFonts w:ascii="Trebuchet MS" w:hAnsi="Trebuchet MS" w:cs="Calibri"/>
                <w:sz w:val="20"/>
                <w:szCs w:val="20"/>
              </w:rPr>
            </w:pPr>
          </w:p>
          <w:p w14:paraId="21DC9902" w14:textId="77777777" w:rsidR="000654CE" w:rsidRDefault="000654CE">
            <w:pPr>
              <w:keepNext/>
              <w:keepLines/>
              <w:widowControl w:val="0"/>
              <w:spacing w:line="276" w:lineRule="auto"/>
              <w:jc w:val="both"/>
              <w:rPr>
                <w:rFonts w:ascii="Trebuchet MS" w:hAnsi="Trebuchet MS" w:cs="Calibri"/>
                <w:sz w:val="20"/>
                <w:szCs w:val="20"/>
              </w:rPr>
            </w:pPr>
          </w:p>
          <w:p w14:paraId="26E6B02E"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a*</w:t>
            </w:r>
          </w:p>
          <w:p w14:paraId="7B018F00"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b</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7FF58" w14:textId="77777777" w:rsidR="000654CE" w:rsidRDefault="000654CE">
            <w:pPr>
              <w:keepNext/>
              <w:keepLines/>
              <w:widowControl w:val="0"/>
              <w:spacing w:line="276" w:lineRule="auto"/>
              <w:jc w:val="both"/>
              <w:rPr>
                <w:rFonts w:ascii="Trebuchet MS" w:hAnsi="Trebuchet MS" w:cs="Calibri"/>
                <w:b/>
                <w:color w:val="FF0000"/>
                <w:sz w:val="20"/>
                <w:szCs w:val="20"/>
              </w:rPr>
            </w:pPr>
          </w:p>
        </w:tc>
      </w:tr>
      <w:tr w:rsidR="000654CE" w14:paraId="6369B4AB" w14:textId="77777777">
        <w:trPr>
          <w:trHeight w:val="2425"/>
          <w:tblHeader/>
        </w:trPr>
        <w:tc>
          <w:tcPr>
            <w:tcW w:w="935" w:type="dxa"/>
            <w:vMerge/>
            <w:tcBorders>
              <w:left w:val="single" w:sz="4" w:space="0" w:color="000000"/>
              <w:bottom w:val="single" w:sz="4" w:space="0" w:color="000000"/>
              <w:right w:val="single" w:sz="4" w:space="0" w:color="000000"/>
            </w:tcBorders>
            <w:shd w:val="clear" w:color="auto" w:fill="auto"/>
            <w:vAlign w:val="center"/>
          </w:tcPr>
          <w:p w14:paraId="1B4DC6DD" w14:textId="77777777" w:rsidR="000654CE" w:rsidRDefault="000654CE">
            <w:pPr>
              <w:keepNext/>
              <w:keepLines/>
              <w:widowControl w:val="0"/>
              <w:spacing w:line="276" w:lineRule="auto"/>
              <w:jc w:val="center"/>
              <w:rPr>
                <w:rFonts w:ascii="Trebuchet MS" w:hAnsi="Trebuchet MS" w:cs="Calibri"/>
                <w:b/>
                <w:sz w:val="20"/>
                <w:szCs w:val="20"/>
              </w:rPr>
            </w:pPr>
          </w:p>
        </w:tc>
        <w:tc>
          <w:tcPr>
            <w:tcW w:w="5945" w:type="dxa"/>
            <w:tcBorders>
              <w:top w:val="single" w:sz="4" w:space="0" w:color="000000"/>
              <w:left w:val="single" w:sz="4" w:space="0" w:color="000000"/>
              <w:bottom w:val="single" w:sz="4" w:space="0" w:color="000000"/>
              <w:right w:val="single" w:sz="4" w:space="0" w:color="000000"/>
            </w:tcBorders>
            <w:shd w:val="clear" w:color="auto" w:fill="auto"/>
          </w:tcPr>
          <w:p w14:paraId="11D2C65C"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3.2 Activități de diseminare a rezultatelor activităților de CDI și PUI obținute în cadrul proiectului PIIEC către întreprinderi active în domenii esențiale ale economiei: industria auto, sănătate, agricultură de precizie, spațiu, apărare, aeronautică, prin:</w:t>
            </w:r>
          </w:p>
          <w:p w14:paraId="5E106221" w14:textId="77777777" w:rsidR="000654CE" w:rsidRDefault="00000000">
            <w:pPr>
              <w:pStyle w:val="ListParagraph"/>
              <w:keepNext/>
              <w:keepLines/>
              <w:widowControl w:val="0"/>
              <w:numPr>
                <w:ilvl w:val="0"/>
                <w:numId w:val="14"/>
              </w:numPr>
              <w:spacing w:line="276" w:lineRule="auto"/>
              <w:jc w:val="both"/>
              <w:rPr>
                <w:rFonts w:ascii="Trebuchet MS" w:hAnsi="Trebuchet MS" w:cs="Calibri"/>
                <w:sz w:val="20"/>
                <w:szCs w:val="20"/>
              </w:rPr>
            </w:pPr>
            <w:r>
              <w:rPr>
                <w:rFonts w:ascii="Trebuchet MS" w:hAnsi="Trebuchet MS" w:cs="Calibri"/>
                <w:sz w:val="20"/>
                <w:szCs w:val="20"/>
              </w:rPr>
              <w:t>Licențe</w:t>
            </w:r>
          </w:p>
          <w:p w14:paraId="35917A5C" w14:textId="77777777" w:rsidR="000654CE" w:rsidRDefault="00000000">
            <w:pPr>
              <w:pStyle w:val="ListParagraph"/>
              <w:keepNext/>
              <w:keepLines/>
              <w:widowControl w:val="0"/>
              <w:numPr>
                <w:ilvl w:val="0"/>
                <w:numId w:val="14"/>
              </w:numPr>
              <w:spacing w:line="276" w:lineRule="auto"/>
              <w:jc w:val="both"/>
              <w:rPr>
                <w:rFonts w:ascii="Trebuchet MS" w:hAnsi="Trebuchet MS" w:cs="Calibri"/>
                <w:sz w:val="20"/>
                <w:szCs w:val="20"/>
              </w:rPr>
            </w:pPr>
            <w:r>
              <w:rPr>
                <w:rFonts w:ascii="Trebuchet MS" w:hAnsi="Trebuchet MS" w:cs="Calibri"/>
                <w:sz w:val="20"/>
                <w:szCs w:val="20"/>
              </w:rPr>
              <w:t xml:space="preserve">Colaborări (de ex. pentru testare) </w:t>
            </w:r>
          </w:p>
          <w:p w14:paraId="290FE441" w14:textId="77777777" w:rsidR="000654CE" w:rsidRDefault="00000000">
            <w:pPr>
              <w:pStyle w:val="ListParagraph"/>
              <w:keepNext/>
              <w:keepLines/>
              <w:widowControl w:val="0"/>
              <w:numPr>
                <w:ilvl w:val="0"/>
                <w:numId w:val="14"/>
              </w:numPr>
              <w:spacing w:line="276" w:lineRule="auto"/>
              <w:jc w:val="both"/>
              <w:rPr>
                <w:rFonts w:ascii="Trebuchet MS" w:hAnsi="Trebuchet MS" w:cs="Calibri"/>
                <w:sz w:val="20"/>
                <w:szCs w:val="20"/>
              </w:rPr>
            </w:pPr>
            <w:r>
              <w:rPr>
                <w:rFonts w:ascii="Trebuchet MS" w:hAnsi="Trebuchet MS" w:cs="Calibri"/>
                <w:sz w:val="20"/>
                <w:szCs w:val="20"/>
              </w:rPr>
              <w:t xml:space="preserve">Proiectare și utilizare MPW  </w:t>
            </w:r>
          </w:p>
          <w:p w14:paraId="61B45A5E" w14:textId="77777777" w:rsidR="000654CE" w:rsidRDefault="00000000">
            <w:pPr>
              <w:pStyle w:val="ListParagraph"/>
              <w:keepNext/>
              <w:keepLines/>
              <w:widowControl w:val="0"/>
              <w:numPr>
                <w:ilvl w:val="0"/>
                <w:numId w:val="14"/>
              </w:numPr>
              <w:spacing w:line="276" w:lineRule="auto"/>
              <w:jc w:val="both"/>
              <w:rPr>
                <w:rFonts w:ascii="Trebuchet MS" w:hAnsi="Trebuchet MS" w:cs="Calibri"/>
                <w:sz w:val="20"/>
                <w:szCs w:val="20"/>
              </w:rPr>
            </w:pPr>
            <w:r>
              <w:rPr>
                <w:rFonts w:ascii="Trebuchet MS" w:hAnsi="Trebuchet MS" w:cs="Calibri"/>
                <w:sz w:val="20"/>
                <w:szCs w:val="20"/>
              </w:rPr>
              <w:t>Kituri de proiectare / de produs</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5EFBB04C" w14:textId="77777777" w:rsidR="000654CE" w:rsidRDefault="000654CE">
            <w:pPr>
              <w:keepNext/>
              <w:keepLines/>
              <w:widowControl w:val="0"/>
              <w:spacing w:line="276" w:lineRule="auto"/>
              <w:jc w:val="both"/>
              <w:rPr>
                <w:rFonts w:ascii="Trebuchet MS" w:hAnsi="Trebuchet MS" w:cs="Calibri"/>
                <w:sz w:val="20"/>
                <w:szCs w:val="20"/>
              </w:rPr>
            </w:pPr>
          </w:p>
          <w:p w14:paraId="78A73FE1" w14:textId="77777777" w:rsidR="000654CE" w:rsidRDefault="000654CE">
            <w:pPr>
              <w:keepNext/>
              <w:keepLines/>
              <w:widowControl w:val="0"/>
              <w:spacing w:line="276" w:lineRule="auto"/>
              <w:jc w:val="both"/>
              <w:rPr>
                <w:rFonts w:ascii="Trebuchet MS" w:hAnsi="Trebuchet MS" w:cs="Calibri"/>
                <w:sz w:val="20"/>
                <w:szCs w:val="20"/>
              </w:rPr>
            </w:pPr>
          </w:p>
          <w:p w14:paraId="434A86A3"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(a+b+c+d)</w:t>
            </w:r>
          </w:p>
          <w:p w14:paraId="1D1BE446" w14:textId="77777777" w:rsidR="000654CE" w:rsidRDefault="000654CE">
            <w:pPr>
              <w:keepNext/>
              <w:keepLines/>
              <w:widowControl w:val="0"/>
              <w:spacing w:line="276" w:lineRule="auto"/>
              <w:jc w:val="both"/>
              <w:rPr>
                <w:rFonts w:ascii="Trebuchet MS" w:hAnsi="Trebuchet MS" w:cs="Calibri"/>
                <w:sz w:val="20"/>
                <w:szCs w:val="20"/>
              </w:rPr>
            </w:pPr>
          </w:p>
          <w:p w14:paraId="521108BA" w14:textId="77777777" w:rsidR="000654CE" w:rsidRDefault="000654CE">
            <w:pPr>
              <w:keepNext/>
              <w:keepLines/>
              <w:widowControl w:val="0"/>
              <w:spacing w:line="276" w:lineRule="auto"/>
              <w:jc w:val="both"/>
              <w:rPr>
                <w:rFonts w:ascii="Trebuchet MS" w:hAnsi="Trebuchet MS" w:cs="Calibri"/>
                <w:sz w:val="20"/>
                <w:szCs w:val="20"/>
              </w:rPr>
            </w:pPr>
          </w:p>
          <w:p w14:paraId="7288A35B"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a</w:t>
            </w:r>
          </w:p>
          <w:p w14:paraId="7EEFC773"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 xml:space="preserve">Număr b </w:t>
            </w:r>
          </w:p>
          <w:p w14:paraId="4FC38E79"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c</w:t>
            </w:r>
          </w:p>
          <w:p w14:paraId="1C3D9000"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d</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13E4" w14:textId="77777777" w:rsidR="000654CE" w:rsidRDefault="000654CE">
            <w:pPr>
              <w:keepNext/>
              <w:keepLines/>
              <w:widowControl w:val="0"/>
              <w:spacing w:line="276" w:lineRule="auto"/>
              <w:jc w:val="both"/>
              <w:rPr>
                <w:rFonts w:ascii="Trebuchet MS" w:hAnsi="Trebuchet MS" w:cs="Calibri"/>
                <w:b/>
                <w:color w:val="FF0000"/>
                <w:sz w:val="20"/>
                <w:szCs w:val="20"/>
              </w:rPr>
            </w:pPr>
          </w:p>
        </w:tc>
      </w:tr>
      <w:tr w:rsidR="000654CE" w14:paraId="119CE4D9" w14:textId="77777777">
        <w:trPr>
          <w:trHeight w:val="535"/>
          <w:tblHeader/>
        </w:trPr>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4EFB8" w14:textId="77777777" w:rsidR="000654CE" w:rsidRDefault="00000000">
            <w:pPr>
              <w:keepNext/>
              <w:keepLines/>
              <w:widowControl w:val="0"/>
              <w:spacing w:line="276" w:lineRule="auto"/>
              <w:jc w:val="center"/>
              <w:rPr>
                <w:rFonts w:ascii="Trebuchet MS" w:hAnsi="Trebuchet MS" w:cs="Calibri"/>
                <w:bCs/>
                <w:sz w:val="20"/>
                <w:szCs w:val="20"/>
              </w:rPr>
            </w:pPr>
            <w:r>
              <w:rPr>
                <w:rFonts w:ascii="Trebuchet MS" w:hAnsi="Trebuchet MS" w:cs="Calibri"/>
                <w:bCs/>
                <w:sz w:val="20"/>
                <w:szCs w:val="20"/>
              </w:rPr>
              <w:t>4.</w:t>
            </w:r>
          </w:p>
        </w:tc>
        <w:tc>
          <w:tcPr>
            <w:tcW w:w="5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D44DB" w14:textId="77777777" w:rsidR="000654CE" w:rsidRDefault="00000000">
            <w:pPr>
              <w:widowControl w:val="0"/>
              <w:tabs>
                <w:tab w:val="left" w:pos="426"/>
              </w:tabs>
              <w:spacing w:after="160" w:line="252" w:lineRule="auto"/>
              <w:textAlignment w:val="baseline"/>
              <w:rPr>
                <w:rFonts w:ascii="Trebuchet MS" w:hAnsi="Trebuchet MS"/>
                <w:sz w:val="20"/>
                <w:szCs w:val="20"/>
              </w:rPr>
            </w:pPr>
            <w:r>
              <w:rPr>
                <w:rFonts w:ascii="Trebuchet MS" w:hAnsi="Trebuchet MS" w:cs="Calibri"/>
                <w:sz w:val="20"/>
                <w:szCs w:val="20"/>
              </w:rPr>
              <w:t xml:space="preserve"> </w:t>
            </w:r>
            <w:r>
              <w:rPr>
                <w:rFonts w:ascii="Trebuchet MS" w:hAnsi="Trebuchet MS"/>
                <w:sz w:val="20"/>
                <w:szCs w:val="20"/>
              </w:rPr>
              <w:t>Publicații, participări la conferințe, din care:</w:t>
            </w:r>
          </w:p>
          <w:p w14:paraId="56374552" w14:textId="7B9BCFDB" w:rsidR="000654CE" w:rsidRDefault="00000000">
            <w:pPr>
              <w:pStyle w:val="ListParagraph"/>
              <w:keepNext/>
              <w:keepLines/>
              <w:widowControl w:val="0"/>
              <w:numPr>
                <w:ilvl w:val="1"/>
                <w:numId w:val="15"/>
              </w:numPr>
              <w:spacing w:line="276" w:lineRule="auto"/>
              <w:jc w:val="both"/>
              <w:textAlignment w:val="baseline"/>
              <w:rPr>
                <w:rFonts w:ascii="Trebuchet MS" w:hAnsi="Trebuchet MS" w:cs="Calibri"/>
                <w:sz w:val="20"/>
                <w:szCs w:val="20"/>
              </w:rPr>
            </w:pPr>
            <w:r>
              <w:rPr>
                <w:rFonts w:ascii="Trebuchet MS" w:hAnsi="Trebuchet MS" w:cs="Calibri"/>
                <w:sz w:val="20"/>
                <w:szCs w:val="20"/>
              </w:rPr>
              <w:t>Publicații științifice / industriale</w:t>
            </w:r>
            <w:r w:rsidR="00DA4C92">
              <w:rPr>
                <w:rFonts w:ascii="Trebuchet MS" w:hAnsi="Trebuchet MS" w:cs="Calibri"/>
                <w:sz w:val="20"/>
                <w:szCs w:val="20"/>
              </w:rPr>
              <w:t xml:space="preserve"> </w:t>
            </w:r>
            <w:r w:rsidR="00DA4C92" w:rsidRPr="00DA4C92">
              <w:rPr>
                <w:rFonts w:ascii="Trebuchet MS" w:hAnsi="Trebuchet MS" w:cs="Calibri"/>
                <w:sz w:val="20"/>
                <w:szCs w:val="20"/>
              </w:rPr>
              <w:t>indexate Web of Science (WOS), IEEE, Science Direct, Springer</w:t>
            </w:r>
            <w:r w:rsidR="000475F7">
              <w:rPr>
                <w:rFonts w:ascii="Trebuchet MS" w:hAnsi="Trebuchet MS" w:cs="Calibri"/>
                <w:sz w:val="20"/>
                <w:szCs w:val="20"/>
              </w:rPr>
              <w:t>, Scopus</w:t>
            </w:r>
          </w:p>
          <w:p w14:paraId="216B4ABC" w14:textId="77777777" w:rsidR="000654CE" w:rsidRDefault="00000000">
            <w:pPr>
              <w:pStyle w:val="ListParagraph"/>
              <w:keepNext/>
              <w:keepLines/>
              <w:widowControl w:val="0"/>
              <w:numPr>
                <w:ilvl w:val="1"/>
                <w:numId w:val="15"/>
              </w:numPr>
              <w:spacing w:line="276" w:lineRule="auto"/>
              <w:jc w:val="both"/>
              <w:textAlignment w:val="baseline"/>
              <w:rPr>
                <w:rFonts w:ascii="Trebuchet MS" w:hAnsi="Trebuchet MS" w:cs="Calibri"/>
                <w:sz w:val="20"/>
                <w:szCs w:val="20"/>
              </w:rPr>
            </w:pPr>
            <w:r>
              <w:rPr>
                <w:rFonts w:ascii="Trebuchet MS" w:hAnsi="Trebuchet MS" w:cs="Calibri"/>
                <w:sz w:val="20"/>
                <w:szCs w:val="20"/>
              </w:rPr>
              <w:t>Participări la conferințe (prezentări, lucrări publicate, expuneri)</w:t>
            </w:r>
          </w:p>
          <w:p w14:paraId="2C1ED003" w14:textId="77777777" w:rsidR="000654CE" w:rsidRDefault="00000000">
            <w:pPr>
              <w:pStyle w:val="ListParagraph"/>
              <w:keepNext/>
              <w:keepLines/>
              <w:widowControl w:val="0"/>
              <w:numPr>
                <w:ilvl w:val="1"/>
                <w:numId w:val="15"/>
              </w:numPr>
              <w:spacing w:line="276" w:lineRule="auto"/>
              <w:jc w:val="both"/>
              <w:textAlignment w:val="baseline"/>
              <w:rPr>
                <w:rFonts w:ascii="Trebuchet MS" w:hAnsi="Trebuchet MS" w:cs="Calibri"/>
                <w:sz w:val="20"/>
                <w:szCs w:val="20"/>
              </w:rPr>
            </w:pPr>
            <w:r>
              <w:rPr>
                <w:rFonts w:ascii="Trebuchet MS" w:hAnsi="Trebuchet MS" w:cs="Calibri"/>
                <w:sz w:val="20"/>
                <w:szCs w:val="20"/>
              </w:rPr>
              <w:t>Organizarea de conferințe</w:t>
            </w:r>
          </w:p>
          <w:p w14:paraId="351EC208" w14:textId="77777777" w:rsidR="000654CE" w:rsidRDefault="00000000">
            <w:pPr>
              <w:pStyle w:val="ListParagraph"/>
              <w:keepNext/>
              <w:keepLines/>
              <w:widowControl w:val="0"/>
              <w:numPr>
                <w:ilvl w:val="1"/>
                <w:numId w:val="15"/>
              </w:numPr>
              <w:spacing w:line="276" w:lineRule="auto"/>
              <w:jc w:val="both"/>
              <w:textAlignment w:val="baseline"/>
              <w:rPr>
                <w:rFonts w:ascii="Trebuchet MS" w:hAnsi="Trebuchet MS" w:cs="Calibri"/>
                <w:sz w:val="20"/>
                <w:szCs w:val="20"/>
              </w:rPr>
            </w:pPr>
            <w:r>
              <w:rPr>
                <w:rFonts w:ascii="Trebuchet MS" w:hAnsi="Trebuchet MS" w:cs="Calibri"/>
                <w:sz w:val="20"/>
                <w:szCs w:val="20"/>
              </w:rPr>
              <w:t>Finanțarea studiilor de doctorat și a studiilor de master</w:t>
            </w:r>
          </w:p>
          <w:p w14:paraId="7806768F" w14:textId="77777777" w:rsidR="000654CE" w:rsidRDefault="00000000">
            <w:pPr>
              <w:pStyle w:val="ListParagraph"/>
              <w:keepNext/>
              <w:keepLines/>
              <w:widowControl w:val="0"/>
              <w:numPr>
                <w:ilvl w:val="1"/>
                <w:numId w:val="15"/>
              </w:numPr>
              <w:spacing w:line="276" w:lineRule="auto"/>
              <w:jc w:val="both"/>
              <w:textAlignment w:val="baseline"/>
              <w:rPr>
                <w:rFonts w:ascii="Trebuchet MS" w:hAnsi="Trebuchet MS" w:cs="Calibri"/>
                <w:sz w:val="20"/>
                <w:szCs w:val="20"/>
              </w:rPr>
            </w:pPr>
            <w:r>
              <w:rPr>
                <w:rFonts w:ascii="Trebuchet MS" w:hAnsi="Trebuchet MS" w:cs="Calibri"/>
                <w:sz w:val="20"/>
                <w:szCs w:val="20"/>
              </w:rPr>
              <w:t>Internships</w:t>
            </w:r>
          </w:p>
          <w:p w14:paraId="2AFF3AFF" w14:textId="77777777" w:rsidR="000654CE" w:rsidRDefault="00000000">
            <w:pPr>
              <w:pStyle w:val="ListParagraph"/>
              <w:keepNext/>
              <w:keepLines/>
              <w:widowControl w:val="0"/>
              <w:numPr>
                <w:ilvl w:val="1"/>
                <w:numId w:val="15"/>
              </w:numPr>
              <w:spacing w:line="276" w:lineRule="auto"/>
              <w:jc w:val="both"/>
              <w:textAlignment w:val="baseline"/>
              <w:rPr>
                <w:rFonts w:ascii="Trebuchet MS" w:hAnsi="Trebuchet MS" w:cs="Calibri"/>
                <w:sz w:val="20"/>
                <w:szCs w:val="20"/>
              </w:rPr>
            </w:pPr>
            <w:r>
              <w:rPr>
                <w:rFonts w:ascii="Trebuchet MS" w:hAnsi="Trebuchet MS" w:cs="Calibri"/>
                <w:sz w:val="20"/>
                <w:szCs w:val="20"/>
              </w:rPr>
              <w:t>Finanțarea catedrelor universitare</w:t>
            </w:r>
          </w:p>
          <w:p w14:paraId="1C87039C" w14:textId="77777777" w:rsidR="000654CE" w:rsidRDefault="00000000">
            <w:pPr>
              <w:pStyle w:val="ListParagraph"/>
              <w:keepNext/>
              <w:keepLines/>
              <w:widowControl w:val="0"/>
              <w:numPr>
                <w:ilvl w:val="1"/>
                <w:numId w:val="15"/>
              </w:numPr>
              <w:spacing w:line="276" w:lineRule="auto"/>
              <w:jc w:val="both"/>
              <w:textAlignment w:val="baseline"/>
              <w:rPr>
                <w:rFonts w:ascii="Trebuchet MS" w:hAnsi="Trebuchet MS" w:cs="Calibri"/>
                <w:sz w:val="20"/>
                <w:szCs w:val="20"/>
              </w:rPr>
            </w:pPr>
            <w:r>
              <w:rPr>
                <w:rFonts w:ascii="Trebuchet MS" w:hAnsi="Trebuchet MS" w:cs="Calibri"/>
                <w:sz w:val="20"/>
                <w:szCs w:val="20"/>
              </w:rPr>
              <w:t>Patente obținute</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02A22947"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(a+...+g)</w:t>
            </w:r>
          </w:p>
          <w:p w14:paraId="221645B6" w14:textId="5C0F4C74" w:rsidR="000654CE" w:rsidRDefault="00000000">
            <w:pPr>
              <w:keepNext/>
              <w:keepLines/>
              <w:widowControl w:val="0"/>
              <w:spacing w:before="240" w:line="276" w:lineRule="auto"/>
              <w:jc w:val="both"/>
              <w:rPr>
                <w:rFonts w:ascii="Trebuchet MS" w:hAnsi="Trebuchet MS" w:cs="Calibri"/>
                <w:sz w:val="20"/>
                <w:szCs w:val="20"/>
              </w:rPr>
            </w:pPr>
            <w:r>
              <w:rPr>
                <w:rFonts w:ascii="Trebuchet MS" w:hAnsi="Trebuchet MS" w:cs="Calibri"/>
                <w:sz w:val="20"/>
                <w:szCs w:val="20"/>
              </w:rPr>
              <w:t>Număr a</w:t>
            </w:r>
          </w:p>
          <w:p w14:paraId="0E3D266C" w14:textId="77777777" w:rsidR="00DA4C92" w:rsidRDefault="00DA4C92">
            <w:pPr>
              <w:keepNext/>
              <w:keepLines/>
              <w:widowControl w:val="0"/>
              <w:spacing w:line="276" w:lineRule="auto"/>
              <w:jc w:val="both"/>
              <w:rPr>
                <w:rFonts w:ascii="Trebuchet MS" w:hAnsi="Trebuchet MS" w:cs="Calibri"/>
                <w:sz w:val="20"/>
                <w:szCs w:val="20"/>
              </w:rPr>
            </w:pPr>
          </w:p>
          <w:p w14:paraId="4B7D2472" w14:textId="14B56700" w:rsidR="000654CE" w:rsidRDefault="00000000" w:rsidP="007F2554">
            <w:pPr>
              <w:keepNext/>
              <w:keepLines/>
              <w:widowControl w:val="0"/>
              <w:spacing w:before="240" w:line="276" w:lineRule="auto"/>
              <w:jc w:val="both"/>
              <w:rPr>
                <w:rFonts w:ascii="Trebuchet MS" w:hAnsi="Trebuchet MS" w:cs="Calibri"/>
                <w:sz w:val="20"/>
                <w:szCs w:val="20"/>
              </w:rPr>
            </w:pPr>
            <w:r>
              <w:rPr>
                <w:rFonts w:ascii="Trebuchet MS" w:hAnsi="Trebuchet MS" w:cs="Calibri"/>
                <w:sz w:val="20"/>
                <w:szCs w:val="20"/>
              </w:rPr>
              <w:t>Număr b</w:t>
            </w:r>
          </w:p>
          <w:p w14:paraId="1AEC0547" w14:textId="77777777" w:rsidR="000654CE" w:rsidRDefault="000654CE">
            <w:pPr>
              <w:keepNext/>
              <w:keepLines/>
              <w:widowControl w:val="0"/>
              <w:spacing w:line="276" w:lineRule="auto"/>
              <w:jc w:val="both"/>
              <w:rPr>
                <w:rFonts w:ascii="Trebuchet MS" w:hAnsi="Trebuchet MS" w:cs="Calibri"/>
                <w:sz w:val="20"/>
                <w:szCs w:val="20"/>
              </w:rPr>
            </w:pPr>
          </w:p>
          <w:p w14:paraId="6B9342CA"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c</w:t>
            </w:r>
          </w:p>
          <w:p w14:paraId="0B7642F6" w14:textId="5A41D300" w:rsidR="000654CE" w:rsidRDefault="00000000" w:rsidP="007F2554">
            <w:pPr>
              <w:keepNext/>
              <w:keepLines/>
              <w:widowControl w:val="0"/>
              <w:spacing w:before="240" w:line="276" w:lineRule="auto"/>
              <w:jc w:val="both"/>
              <w:rPr>
                <w:rFonts w:ascii="Trebuchet MS" w:hAnsi="Trebuchet MS" w:cs="Calibri"/>
                <w:sz w:val="20"/>
                <w:szCs w:val="20"/>
              </w:rPr>
            </w:pPr>
            <w:r>
              <w:rPr>
                <w:rFonts w:ascii="Trebuchet MS" w:hAnsi="Trebuchet MS" w:cs="Calibri"/>
                <w:sz w:val="20"/>
                <w:szCs w:val="20"/>
              </w:rPr>
              <w:t>Număr d</w:t>
            </w:r>
          </w:p>
          <w:p w14:paraId="63E8D4BA"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e</w:t>
            </w:r>
          </w:p>
          <w:p w14:paraId="7635C2A7"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f</w:t>
            </w:r>
          </w:p>
          <w:p w14:paraId="07796DC4" w14:textId="77777777" w:rsidR="000654CE" w:rsidRDefault="00000000">
            <w:pPr>
              <w:keepNext/>
              <w:keepLines/>
              <w:widowControl w:val="0"/>
              <w:spacing w:line="276" w:lineRule="auto"/>
              <w:jc w:val="both"/>
              <w:rPr>
                <w:rFonts w:ascii="Trebuchet MS" w:hAnsi="Trebuchet MS" w:cs="Calibri"/>
                <w:sz w:val="20"/>
                <w:szCs w:val="20"/>
              </w:rPr>
            </w:pPr>
            <w:r>
              <w:rPr>
                <w:rFonts w:ascii="Trebuchet MS" w:hAnsi="Trebuchet MS" w:cs="Calibri"/>
                <w:sz w:val="20"/>
                <w:szCs w:val="20"/>
              </w:rPr>
              <w:t>Număr g</w:t>
            </w: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4BDA9" w14:textId="77777777" w:rsidR="000654CE" w:rsidRDefault="000654CE">
            <w:pPr>
              <w:keepNext/>
              <w:keepLines/>
              <w:widowControl w:val="0"/>
              <w:spacing w:line="276" w:lineRule="auto"/>
              <w:jc w:val="both"/>
              <w:rPr>
                <w:rFonts w:ascii="Trebuchet MS" w:hAnsi="Trebuchet MS" w:cs="Calibri"/>
                <w:b/>
                <w:color w:val="FF0000"/>
                <w:sz w:val="20"/>
                <w:szCs w:val="20"/>
              </w:rPr>
            </w:pPr>
            <w:bookmarkStart w:id="12" w:name="_Hlk147759120"/>
            <w:bookmarkEnd w:id="12"/>
          </w:p>
        </w:tc>
      </w:tr>
    </w:tbl>
    <w:p w14:paraId="4B041440" w14:textId="77777777" w:rsidR="000654CE" w:rsidRDefault="000654CE">
      <w:pPr>
        <w:spacing w:line="276" w:lineRule="auto"/>
        <w:ind w:left="900"/>
        <w:jc w:val="both"/>
        <w:rPr>
          <w:rFonts w:ascii="Trebuchet MS" w:hAnsi="Trebuchet MS"/>
          <w:sz w:val="22"/>
          <w:szCs w:val="22"/>
        </w:rPr>
      </w:pPr>
    </w:p>
    <w:p w14:paraId="7689B6A9" w14:textId="77777777" w:rsidR="000654CE" w:rsidRDefault="00000000">
      <w:pPr>
        <w:spacing w:line="276" w:lineRule="auto"/>
        <w:ind w:left="900"/>
        <w:jc w:val="both"/>
        <w:rPr>
          <w:rFonts w:ascii="Trebuchet MS" w:hAnsi="Trebuchet MS"/>
          <w:b/>
          <w:bCs/>
          <w:i/>
          <w:iCs/>
          <w:sz w:val="22"/>
          <w:szCs w:val="22"/>
        </w:rPr>
      </w:pPr>
      <w:r>
        <w:rPr>
          <w:rFonts w:ascii="Trebuchet MS" w:hAnsi="Trebuchet MS"/>
          <w:b/>
          <w:bCs/>
          <w:i/>
          <w:iCs/>
          <w:sz w:val="22"/>
          <w:szCs w:val="22"/>
        </w:rPr>
        <w:t xml:space="preserve">NOTĂ: </w:t>
      </w:r>
    </w:p>
    <w:p w14:paraId="1C316250" w14:textId="77777777" w:rsidR="000654CE" w:rsidRDefault="00000000">
      <w:pPr>
        <w:spacing w:line="276" w:lineRule="auto"/>
        <w:ind w:firstLine="720"/>
        <w:jc w:val="both"/>
        <w:rPr>
          <w:rFonts w:ascii="Trebuchet MS" w:hAnsi="Trebuchet MS"/>
          <w:i/>
          <w:iCs/>
          <w:sz w:val="22"/>
          <w:szCs w:val="22"/>
        </w:rPr>
      </w:pPr>
      <w:r>
        <w:rPr>
          <w:rFonts w:ascii="Trebuchet MS" w:hAnsi="Trebuchet MS"/>
          <w:i/>
          <w:iCs/>
          <w:sz w:val="22"/>
          <w:szCs w:val="22"/>
        </w:rPr>
        <w:t>* Valoarea minimă este 1.</w:t>
      </w:r>
    </w:p>
    <w:p w14:paraId="1E757C1E" w14:textId="1AABFC59" w:rsidR="000654CE" w:rsidRDefault="00000000" w:rsidP="001870BF">
      <w:pPr>
        <w:spacing w:line="276" w:lineRule="auto"/>
        <w:ind w:left="900"/>
        <w:jc w:val="both"/>
        <w:rPr>
          <w:rFonts w:ascii="Trebuchet MS" w:hAnsi="Trebuchet MS"/>
          <w:i/>
          <w:iCs/>
          <w:sz w:val="22"/>
          <w:szCs w:val="22"/>
        </w:rPr>
      </w:pPr>
      <w:r>
        <w:rPr>
          <w:rFonts w:ascii="Trebuchet MS" w:hAnsi="Trebuchet MS"/>
          <w:i/>
          <w:iCs/>
          <w:sz w:val="22"/>
          <w:szCs w:val="22"/>
        </w:rPr>
        <w:t xml:space="preserve">Valoarea țintă este valoarea asumată de beneficiar pe perioada de implementare </w:t>
      </w:r>
      <w:r w:rsidR="00AE669B">
        <w:rPr>
          <w:rFonts w:ascii="Trebuchet MS" w:hAnsi="Trebuchet MS"/>
          <w:i/>
          <w:iCs/>
          <w:sz w:val="22"/>
          <w:szCs w:val="22"/>
        </w:rPr>
        <w:t xml:space="preserve">a </w:t>
      </w:r>
      <w:r>
        <w:rPr>
          <w:rFonts w:ascii="Trebuchet MS" w:hAnsi="Trebuchet MS"/>
          <w:i/>
          <w:iCs/>
          <w:sz w:val="22"/>
          <w:szCs w:val="22"/>
        </w:rPr>
        <w:t>proiectului.</w:t>
      </w:r>
      <w:r w:rsidR="001870BF">
        <w:rPr>
          <w:rFonts w:ascii="Trebuchet MS" w:hAnsi="Trebuchet MS"/>
          <w:i/>
          <w:iCs/>
          <w:sz w:val="22"/>
          <w:szCs w:val="22"/>
        </w:rPr>
        <w:t xml:space="preserve"> Pentru indicatorii suplimentari de realizare</w:t>
      </w:r>
      <w:r w:rsidR="00AE669B">
        <w:rPr>
          <w:rFonts w:ascii="Trebuchet MS" w:hAnsi="Trebuchet MS"/>
          <w:i/>
          <w:iCs/>
          <w:sz w:val="22"/>
          <w:szCs w:val="22"/>
        </w:rPr>
        <w:t xml:space="preserve"> (</w:t>
      </w:r>
      <w:r w:rsidR="001870BF">
        <w:rPr>
          <w:rFonts w:ascii="Trebuchet MS" w:hAnsi="Trebuchet MS"/>
          <w:i/>
          <w:iCs/>
          <w:sz w:val="22"/>
          <w:szCs w:val="22"/>
        </w:rPr>
        <w:t>cu excepția indicatorului 3.1.a</w:t>
      </w:r>
      <w:r w:rsidR="00AE669B">
        <w:rPr>
          <w:rFonts w:ascii="Trebuchet MS" w:hAnsi="Trebuchet MS"/>
          <w:i/>
          <w:iCs/>
          <w:sz w:val="22"/>
          <w:szCs w:val="22"/>
        </w:rPr>
        <w:t>)</w:t>
      </w:r>
      <w:r w:rsidR="001870BF">
        <w:rPr>
          <w:rFonts w:ascii="Trebuchet MS" w:hAnsi="Trebuchet MS"/>
          <w:i/>
          <w:iCs/>
          <w:sz w:val="22"/>
          <w:szCs w:val="22"/>
        </w:rPr>
        <w:t>, valoarea țintă poate fi zero în cazul în care proiectul selectat de către Comisia Europeană nu cuprinde o altă valoare.</w:t>
      </w:r>
    </w:p>
    <w:p w14:paraId="6DE88E2E" w14:textId="4DF9620A" w:rsidR="00652E85" w:rsidRPr="00652E85" w:rsidRDefault="00652E85" w:rsidP="001870BF">
      <w:pPr>
        <w:spacing w:line="276" w:lineRule="auto"/>
        <w:ind w:left="900"/>
        <w:jc w:val="both"/>
        <w:rPr>
          <w:rFonts w:ascii="Trebuchet MS" w:hAnsi="Trebuchet MS"/>
          <w:sz w:val="22"/>
          <w:szCs w:val="22"/>
        </w:rPr>
      </w:pPr>
      <w:r>
        <w:rPr>
          <w:rFonts w:ascii="Trebuchet MS" w:hAnsi="Trebuchet MS"/>
          <w:sz w:val="22"/>
          <w:szCs w:val="22"/>
        </w:rPr>
        <w:t xml:space="preserve">Suplimentar, PD vor estima datele aferente indicatorilor comuni potrivit prevederilor Regulamentului (UE) nr. 2106/2021 și în acest scop vor completa datele prevăzute la Anexa </w:t>
      </w:r>
      <w:r w:rsidR="00B65992">
        <w:rPr>
          <w:rFonts w:ascii="Trebuchet MS" w:hAnsi="Trebuchet MS"/>
          <w:sz w:val="22"/>
          <w:szCs w:val="22"/>
        </w:rPr>
        <w:t>6</w:t>
      </w:r>
      <w:r>
        <w:rPr>
          <w:rFonts w:ascii="Trebuchet MS" w:hAnsi="Trebuchet MS"/>
          <w:sz w:val="22"/>
          <w:szCs w:val="22"/>
        </w:rPr>
        <w:t xml:space="preserve"> la prezentul Ghid. </w:t>
      </w:r>
    </w:p>
    <w:p w14:paraId="1C274C8A" w14:textId="49DA81C5" w:rsidR="000654CE" w:rsidRDefault="00000000">
      <w:pPr>
        <w:pStyle w:val="Heading1"/>
        <w:shd w:val="clear" w:color="auto" w:fill="BDD6EE" w:themeFill="accent1" w:themeFillTint="66"/>
        <w:spacing w:before="120" w:after="120" w:line="276" w:lineRule="auto"/>
        <w:ind w:left="360"/>
        <w:rPr>
          <w:rFonts w:ascii="Trebuchet MS" w:hAnsi="Trebuchet MS"/>
          <w:b/>
          <w:color w:val="auto"/>
          <w:sz w:val="22"/>
          <w:szCs w:val="22"/>
        </w:rPr>
      </w:pPr>
      <w:bookmarkStart w:id="13" w:name="_Toc149224623"/>
      <w:bookmarkStart w:id="14" w:name="_Toc144988180"/>
      <w:r>
        <w:rPr>
          <w:rFonts w:ascii="Trebuchet MS" w:hAnsi="Trebuchet MS"/>
          <w:b/>
          <w:color w:val="auto"/>
          <w:sz w:val="22"/>
          <w:szCs w:val="22"/>
        </w:rPr>
        <w:t>3. Contractarea proiectului</w:t>
      </w:r>
      <w:bookmarkEnd w:id="13"/>
      <w:bookmarkEnd w:id="14"/>
    </w:p>
    <w:p w14:paraId="2AB0021B" w14:textId="73006839" w:rsidR="000654CE" w:rsidRDefault="00000000">
      <w:pPr>
        <w:spacing w:before="120" w:after="120" w:line="276" w:lineRule="auto"/>
        <w:ind w:left="990"/>
        <w:jc w:val="both"/>
        <w:rPr>
          <w:rFonts w:ascii="Trebuchet MS" w:eastAsiaTheme="majorEastAsia" w:hAnsi="Trebuchet MS" w:cstheme="majorBidi"/>
          <w:sz w:val="22"/>
          <w:szCs w:val="22"/>
        </w:rPr>
      </w:pPr>
      <w:r>
        <w:rPr>
          <w:rFonts w:ascii="Trebuchet MS" w:eastAsiaTheme="majorEastAsia" w:hAnsi="Trebuchet MS" w:cstheme="majorBidi"/>
          <w:sz w:val="22"/>
          <w:szCs w:val="22"/>
        </w:rPr>
        <w:t>Contractul de finanțare este un act de adeziune și stabilește cadrul juridic în care se desfășoară relația contractuală dintre MIPE, în calitate de coordonator de reformă/investiție, MEAT, în calitate de agenție de implementare, și beneficiar, regulile și termenele care trebuie respectate de părți, precum și condițiile în care se acordă finanțarea din PNRR aferentă Investiției 4. din Componenta 9.</w:t>
      </w:r>
    </w:p>
    <w:p w14:paraId="3D4D9396" w14:textId="71AB3503" w:rsidR="000654CE" w:rsidRDefault="00000000">
      <w:pPr>
        <w:pStyle w:val="Heading2"/>
        <w:shd w:val="clear" w:color="auto" w:fill="BDD6EE" w:themeFill="accent1" w:themeFillTint="66"/>
        <w:spacing w:before="120" w:after="120" w:line="276" w:lineRule="auto"/>
        <w:ind w:left="720"/>
        <w:rPr>
          <w:rFonts w:ascii="Trebuchet MS" w:hAnsi="Trebuchet MS"/>
          <w:b/>
          <w:color w:val="auto"/>
          <w:sz w:val="22"/>
          <w:szCs w:val="22"/>
        </w:rPr>
      </w:pPr>
      <w:bookmarkStart w:id="15" w:name="_Toc144988181"/>
      <w:bookmarkStart w:id="16" w:name="_Toc149224624"/>
      <w:r>
        <w:rPr>
          <w:rFonts w:ascii="Trebuchet MS" w:hAnsi="Trebuchet MS"/>
          <w:b/>
          <w:color w:val="auto"/>
          <w:sz w:val="22"/>
          <w:szCs w:val="22"/>
        </w:rPr>
        <w:t>3.1 Procesul de contractare</w:t>
      </w:r>
      <w:bookmarkEnd w:id="15"/>
      <w:bookmarkEnd w:id="16"/>
    </w:p>
    <w:p w14:paraId="6423A9CC"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Contractarea unui proiect finanțat în cadrul Investiției 4. Componenta 9 din PNRR are trei etape principale:</w:t>
      </w:r>
    </w:p>
    <w:p w14:paraId="4735DBD0" w14:textId="77777777" w:rsidR="000654CE" w:rsidRDefault="00000000">
      <w:pPr>
        <w:pStyle w:val="ListParagraph"/>
        <w:numPr>
          <w:ilvl w:val="0"/>
          <w:numId w:val="4"/>
        </w:numPr>
        <w:spacing w:before="120" w:after="120" w:line="276" w:lineRule="auto"/>
        <w:ind w:left="1350"/>
        <w:jc w:val="both"/>
        <w:rPr>
          <w:rFonts w:ascii="Trebuchet MS" w:hAnsi="Trebuchet MS"/>
          <w:sz w:val="22"/>
          <w:szCs w:val="22"/>
        </w:rPr>
      </w:pPr>
      <w:r>
        <w:rPr>
          <w:rFonts w:ascii="Trebuchet MS" w:hAnsi="Trebuchet MS"/>
          <w:sz w:val="22"/>
          <w:szCs w:val="22"/>
        </w:rPr>
        <w:t>depunerea cererii de finanțare și a anexelor aferente de către beneficiari prin intermediul sistemului informatic PNRR;</w:t>
      </w:r>
    </w:p>
    <w:p w14:paraId="783E9932" w14:textId="77777777" w:rsidR="000654CE" w:rsidRDefault="00000000">
      <w:pPr>
        <w:pStyle w:val="ListParagraph"/>
        <w:numPr>
          <w:ilvl w:val="0"/>
          <w:numId w:val="4"/>
        </w:numPr>
        <w:spacing w:before="120" w:after="120" w:line="276" w:lineRule="auto"/>
        <w:ind w:left="1350"/>
        <w:jc w:val="both"/>
        <w:rPr>
          <w:rFonts w:ascii="Trebuchet MS" w:hAnsi="Trebuchet MS"/>
          <w:sz w:val="22"/>
          <w:szCs w:val="22"/>
        </w:rPr>
      </w:pPr>
      <w:r>
        <w:rPr>
          <w:rFonts w:ascii="Trebuchet MS" w:hAnsi="Trebuchet MS"/>
          <w:sz w:val="22"/>
          <w:szCs w:val="22"/>
        </w:rPr>
        <w:t>verificarea conformității documentelor transmise cu documentele care au fost notificate Comisiei Europene în vederea evaluării și selecției beneficiarului;</w:t>
      </w:r>
    </w:p>
    <w:p w14:paraId="1487FCD1" w14:textId="77777777" w:rsidR="000654CE" w:rsidRDefault="00000000">
      <w:pPr>
        <w:pStyle w:val="ListParagraph"/>
        <w:numPr>
          <w:ilvl w:val="0"/>
          <w:numId w:val="4"/>
        </w:numPr>
        <w:spacing w:before="120" w:after="120" w:line="276" w:lineRule="auto"/>
        <w:ind w:left="1350"/>
        <w:jc w:val="both"/>
        <w:rPr>
          <w:rFonts w:ascii="Trebuchet MS" w:hAnsi="Trebuchet MS"/>
          <w:sz w:val="22"/>
          <w:szCs w:val="22"/>
        </w:rPr>
      </w:pPr>
      <w:r>
        <w:rPr>
          <w:rFonts w:ascii="Trebuchet MS" w:hAnsi="Trebuchet MS"/>
          <w:sz w:val="22"/>
          <w:szCs w:val="22"/>
        </w:rPr>
        <w:t>depunerea documentelor precontractuale.</w:t>
      </w:r>
    </w:p>
    <w:p w14:paraId="0B556655" w14:textId="77777777" w:rsidR="000654CE" w:rsidRDefault="00000000" w:rsidP="00D61223">
      <w:pPr>
        <w:spacing w:before="120" w:line="276" w:lineRule="auto"/>
        <w:ind w:left="990"/>
        <w:jc w:val="both"/>
        <w:rPr>
          <w:rFonts w:ascii="Trebuchet MS" w:hAnsi="Trebuchet MS"/>
          <w:sz w:val="22"/>
          <w:szCs w:val="22"/>
        </w:rPr>
      </w:pPr>
      <w:r>
        <w:rPr>
          <w:rFonts w:ascii="Trebuchet MS" w:hAnsi="Trebuchet MS"/>
          <w:sz w:val="22"/>
          <w:szCs w:val="22"/>
        </w:rPr>
        <w:t>Calendarul orientativ de desfășurare a procesului de contractare:</w:t>
      </w:r>
    </w:p>
    <w:p w14:paraId="6643932F" w14:textId="09669F51" w:rsidR="000654CE" w:rsidRDefault="00000000">
      <w:pPr>
        <w:pStyle w:val="ListParagraph"/>
        <w:numPr>
          <w:ilvl w:val="0"/>
          <w:numId w:val="13"/>
        </w:numPr>
        <w:jc w:val="both"/>
        <w:rPr>
          <w:rFonts w:ascii="Trebuchet MS" w:hAnsi="Trebuchet MS"/>
          <w:sz w:val="22"/>
          <w:szCs w:val="22"/>
        </w:rPr>
      </w:pPr>
      <w:r>
        <w:rPr>
          <w:rFonts w:ascii="Trebuchet MS" w:hAnsi="Trebuchet MS"/>
          <w:sz w:val="22"/>
          <w:szCs w:val="22"/>
        </w:rPr>
        <w:t xml:space="preserve">Data lansării apelului: </w:t>
      </w:r>
      <w:r w:rsidR="00FF3DF4">
        <w:rPr>
          <w:rFonts w:ascii="Trebuchet MS" w:hAnsi="Trebuchet MS"/>
          <w:sz w:val="22"/>
          <w:szCs w:val="22"/>
        </w:rPr>
        <w:t>...........</w:t>
      </w:r>
    </w:p>
    <w:p w14:paraId="497256C7" w14:textId="060E2078" w:rsidR="000654CE" w:rsidRDefault="00000000">
      <w:pPr>
        <w:pStyle w:val="ListParagraph"/>
        <w:numPr>
          <w:ilvl w:val="0"/>
          <w:numId w:val="13"/>
        </w:numPr>
        <w:jc w:val="both"/>
        <w:rPr>
          <w:rFonts w:ascii="Trebuchet MS" w:hAnsi="Trebuchet MS"/>
          <w:sz w:val="22"/>
          <w:szCs w:val="22"/>
        </w:rPr>
      </w:pPr>
      <w:r>
        <w:rPr>
          <w:rFonts w:ascii="Trebuchet MS" w:hAnsi="Trebuchet MS"/>
          <w:sz w:val="22"/>
          <w:szCs w:val="22"/>
        </w:rPr>
        <w:t xml:space="preserve">Data și ora de începere a depunerii cererii de finanțare: </w:t>
      </w:r>
      <w:r w:rsidR="00FF3DF4">
        <w:rPr>
          <w:rFonts w:ascii="Trebuchet MS" w:hAnsi="Trebuchet MS"/>
          <w:sz w:val="22"/>
          <w:szCs w:val="22"/>
        </w:rPr>
        <w:t>...........</w:t>
      </w:r>
      <w:r>
        <w:rPr>
          <w:rFonts w:ascii="Trebuchet MS" w:hAnsi="Trebuchet MS"/>
          <w:sz w:val="22"/>
          <w:szCs w:val="22"/>
        </w:rPr>
        <w:t>, ora 10:00;</w:t>
      </w:r>
    </w:p>
    <w:p w14:paraId="4277EEED" w14:textId="7207CF09" w:rsidR="000654CE" w:rsidRDefault="00000000">
      <w:pPr>
        <w:pStyle w:val="ListParagraph"/>
        <w:numPr>
          <w:ilvl w:val="0"/>
          <w:numId w:val="13"/>
        </w:numPr>
        <w:jc w:val="both"/>
        <w:rPr>
          <w:rFonts w:ascii="Trebuchet MS" w:hAnsi="Trebuchet MS"/>
          <w:sz w:val="22"/>
          <w:szCs w:val="22"/>
        </w:rPr>
      </w:pPr>
      <w:r>
        <w:rPr>
          <w:rFonts w:ascii="Trebuchet MS" w:hAnsi="Trebuchet MS"/>
          <w:sz w:val="22"/>
          <w:szCs w:val="22"/>
        </w:rPr>
        <w:t xml:space="preserve">Data și ora de închidere a depunerii de proiecte: </w:t>
      </w:r>
      <w:r w:rsidR="00FF3DF4">
        <w:rPr>
          <w:rFonts w:ascii="Trebuchet MS" w:hAnsi="Trebuchet MS"/>
          <w:sz w:val="22"/>
          <w:szCs w:val="22"/>
        </w:rPr>
        <w:t>...........</w:t>
      </w:r>
      <w:r>
        <w:rPr>
          <w:rFonts w:ascii="Trebuchet MS" w:hAnsi="Trebuchet MS"/>
          <w:sz w:val="22"/>
          <w:szCs w:val="22"/>
        </w:rPr>
        <w:t>, ora 23:59;</w:t>
      </w:r>
    </w:p>
    <w:p w14:paraId="0E15E3C0" w14:textId="536ADC32" w:rsidR="000654CE" w:rsidRDefault="00000000">
      <w:pPr>
        <w:pStyle w:val="ListParagraph"/>
        <w:numPr>
          <w:ilvl w:val="0"/>
          <w:numId w:val="13"/>
        </w:numPr>
        <w:jc w:val="both"/>
        <w:rPr>
          <w:rFonts w:ascii="Trebuchet MS" w:hAnsi="Trebuchet MS"/>
          <w:sz w:val="22"/>
          <w:szCs w:val="22"/>
        </w:rPr>
      </w:pPr>
      <w:r>
        <w:rPr>
          <w:rFonts w:ascii="Trebuchet MS" w:hAnsi="Trebuchet MS"/>
          <w:sz w:val="22"/>
          <w:szCs w:val="22"/>
        </w:rPr>
        <w:t>Perioad</w:t>
      </w:r>
      <w:r w:rsidR="00C272CD">
        <w:rPr>
          <w:rFonts w:ascii="Trebuchet MS" w:hAnsi="Trebuchet MS"/>
          <w:sz w:val="22"/>
          <w:szCs w:val="22"/>
        </w:rPr>
        <w:t xml:space="preserve">a de verificare a </w:t>
      </w:r>
      <w:r>
        <w:rPr>
          <w:rFonts w:ascii="Trebuchet MS" w:hAnsi="Trebuchet MS"/>
          <w:sz w:val="22"/>
          <w:szCs w:val="22"/>
        </w:rPr>
        <w:t>cererilor de finanțare: până la data de 31.01.2024;</w:t>
      </w:r>
    </w:p>
    <w:p w14:paraId="78CEF492" w14:textId="5171EA4A" w:rsidR="000654CE" w:rsidRDefault="00000000">
      <w:pPr>
        <w:pStyle w:val="ListParagraph"/>
        <w:numPr>
          <w:ilvl w:val="0"/>
          <w:numId w:val="13"/>
        </w:numPr>
        <w:jc w:val="both"/>
        <w:rPr>
          <w:rFonts w:ascii="Trebuchet MS" w:hAnsi="Trebuchet MS"/>
          <w:sz w:val="22"/>
          <w:szCs w:val="22"/>
        </w:rPr>
      </w:pPr>
      <w:r>
        <w:rPr>
          <w:rFonts w:ascii="Trebuchet MS" w:hAnsi="Trebuchet MS"/>
          <w:sz w:val="22"/>
          <w:szCs w:val="22"/>
        </w:rPr>
        <w:t>Perioadă estimativă de semnare a contractelor: 01.02.2024 - 30.0</w:t>
      </w:r>
      <w:r w:rsidR="00017362">
        <w:rPr>
          <w:rFonts w:ascii="Trebuchet MS" w:hAnsi="Trebuchet MS"/>
          <w:sz w:val="22"/>
          <w:szCs w:val="22"/>
        </w:rPr>
        <w:t>6</w:t>
      </w:r>
      <w:r>
        <w:rPr>
          <w:rFonts w:ascii="Trebuchet MS" w:hAnsi="Trebuchet MS"/>
          <w:sz w:val="22"/>
          <w:szCs w:val="22"/>
        </w:rPr>
        <w:t>.2024</w:t>
      </w:r>
    </w:p>
    <w:p w14:paraId="1216D92E" w14:textId="77777777" w:rsidR="000654CE" w:rsidRDefault="000654CE" w:rsidP="00017362">
      <w:pPr>
        <w:pStyle w:val="ListParagraph"/>
        <w:ind w:left="1710"/>
        <w:jc w:val="both"/>
        <w:rPr>
          <w:rFonts w:ascii="Trebuchet MS" w:hAnsi="Trebuchet MS"/>
          <w:sz w:val="22"/>
          <w:szCs w:val="22"/>
        </w:rPr>
      </w:pPr>
    </w:p>
    <w:p w14:paraId="11966493" w14:textId="3F8EC0EF" w:rsidR="000654CE" w:rsidRDefault="00000000">
      <w:pPr>
        <w:pStyle w:val="Heading2"/>
        <w:shd w:val="clear" w:color="auto" w:fill="BDD6EE" w:themeFill="accent1" w:themeFillTint="66"/>
        <w:spacing w:before="120" w:after="120" w:line="276" w:lineRule="auto"/>
        <w:ind w:left="720"/>
        <w:rPr>
          <w:rFonts w:ascii="Trebuchet MS" w:hAnsi="Trebuchet MS"/>
          <w:b/>
          <w:color w:val="auto"/>
          <w:sz w:val="22"/>
          <w:szCs w:val="22"/>
        </w:rPr>
      </w:pPr>
      <w:bookmarkStart w:id="17" w:name="_Toc144988182"/>
      <w:bookmarkStart w:id="18" w:name="_Toc149224625"/>
      <w:r>
        <w:rPr>
          <w:rFonts w:ascii="Trebuchet MS" w:hAnsi="Trebuchet MS"/>
          <w:b/>
          <w:color w:val="auto"/>
          <w:sz w:val="22"/>
          <w:szCs w:val="22"/>
        </w:rPr>
        <w:t>3.1.1 Cadrul legal al contractării proiectelor participanților direcți la PIIEC</w:t>
      </w:r>
      <w:bookmarkEnd w:id="17"/>
      <w:bookmarkEnd w:id="18"/>
    </w:p>
    <w:p w14:paraId="519D0AFB"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Cadrul legal de referință pentru înțelegerea Mecanismului de Redresare şi Reziliență și a Planului Național de Redresare și Reziliență privind Investiția 4. Componenta 9 cuprinde:</w:t>
      </w:r>
    </w:p>
    <w:p w14:paraId="10BB2623"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1. Reglementări comunitare: </w:t>
      </w:r>
    </w:p>
    <w:p w14:paraId="76B2D637"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Regulamentul UE nr. 241/2021 al Parlamentului European și al Consiliului din 12 februarie 2021 de instituire a Mecanismului de Redresare şi Reziliență;</w:t>
      </w:r>
    </w:p>
    <w:p w14:paraId="45D10373"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Decizia de punere în aplicare a Consiliului de aprobare a evaluării planului de redresare și reziliență al României din data de 03 noiembrie 2021 (CID);</w:t>
      </w:r>
    </w:p>
    <w:p w14:paraId="7E7E3C33"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Comunicarea Comisiei - 2021/C 528/02 - Criterii pentru analiza compatibilității cu piața internă a ajutorului de stat destinat să promoveze realizarea unor proiecte importante de interes european comun;</w:t>
      </w:r>
    </w:p>
    <w:p w14:paraId="4BD8602C"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Decizia Comisiei Europene C(2023) 3817 din 08.06.2023 cu privire la aprobarea ajutoarelor de stat individuale pentru proiectul important de interes european comun în domeniul microelectronicii și al tehnologiilor comunicațiilor</w:t>
      </w:r>
      <w:r>
        <w:rPr>
          <w:rFonts w:ascii="Trebuchet MS" w:hAnsi="Trebuchet MS"/>
          <w:sz w:val="22"/>
          <w:szCs w:val="22"/>
          <w:lang w:val="en-US"/>
        </w:rPr>
        <w:t>;</w:t>
      </w:r>
    </w:p>
    <w:p w14:paraId="46EE4456" w14:textId="77777777" w:rsidR="000654CE" w:rsidRDefault="00000000">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2. Legislație națională:</w:t>
      </w:r>
    </w:p>
    <w:p w14:paraId="3DC0749A" w14:textId="77777777" w:rsidR="000654CE" w:rsidRDefault="00000000">
      <w:pPr>
        <w:pStyle w:val="ListParagraph"/>
        <w:numPr>
          <w:ilvl w:val="0"/>
          <w:numId w:val="2"/>
        </w:numPr>
        <w:tabs>
          <w:tab w:val="left" w:pos="1620"/>
        </w:tabs>
        <w:spacing w:before="120" w:after="120" w:line="276" w:lineRule="auto"/>
        <w:ind w:left="990" w:firstLine="0"/>
        <w:contextualSpacing w:val="0"/>
        <w:jc w:val="both"/>
        <w:rPr>
          <w:rFonts w:ascii="Trebuchet MS" w:hAnsi="Trebuchet MS"/>
          <w:sz w:val="22"/>
          <w:szCs w:val="22"/>
        </w:rPr>
      </w:pPr>
      <w:r>
        <w:rPr>
          <w:rFonts w:ascii="Trebuchet MS" w:hAnsi="Trebuchet MS"/>
          <w:sz w:val="22"/>
          <w:szCs w:val="22"/>
        </w:rPr>
        <w:t>Legea nr. 500/2002 privind finanțele publice, cu modificările şi completările ulterioare;</w:t>
      </w:r>
      <w:bookmarkStart w:id="19" w:name="_Hlk147491809"/>
      <w:bookmarkEnd w:id="19"/>
    </w:p>
    <w:p w14:paraId="1B461E3A"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Ordonanța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w:t>
      </w:r>
    </w:p>
    <w:p w14:paraId="6C024839"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 xml:space="preserve">Ordonanţa de urgenţă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w:t>
      </w:r>
    </w:p>
    <w:p w14:paraId="2E99928B"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Ordonanţa de urgență a Guvernului nr. 77/2014 privind procedurile naţionale în domeniul ajutorului de stat, precum şi pentru modificarea şi completarea Legii concurenţei nr. 21/1996, aprobată cu modificări şi completări prin Legea nr. 20/2015, cu modificările şi completările ulterioare;Hotărârea Guvernului nr. 209/2022 pentru aprobarea Normelor metodologice de aplicare a prevederilor OUG nr. 124/2021;</w:t>
      </w:r>
    </w:p>
    <w:p w14:paraId="54979E42"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Hotărârea Guvernului nr. 264/2003 privind stabilirea acțiunilor și categoriilor de cheltuieli, criteriilor, procedurilor și limitelor pentru efectuarea de plăți în avans din fonduri publice, republicată;</w:t>
      </w:r>
      <w:bookmarkStart w:id="20" w:name="_Hlk147491837"/>
      <w:bookmarkEnd w:id="20"/>
    </w:p>
    <w:p w14:paraId="579F39EB"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Hotărârea Guvernului nr. 856/2022 privind aprobarea Programului pentru acordarea de sprijin financiar din fonduri externe nerambursabile pentru proiectele care se finanțează din cadrul Componentei C9. Suport pentru sectorul privat, cercetare, dezvoltare și inovare, Investiția 4. Proiecte transfrontaliere și multinaționale - Procesoare cu consum redus de energie și cipuri semiconductoare, finanțate prin Mecanismul de redresare și reziliență;</w:t>
      </w:r>
    </w:p>
    <w:p w14:paraId="127DD473"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 xml:space="preserve">Acordul de implementare nr. 153937/4169/26.09.2023 privind implementarea Programului pentru acordarea de sprijin financiar din fonduri externe nerambursabile pentru proiectele care se finanţează din cadrul Componentei C9. Suport pentru sectorul privat, cercetare, dezvoltare şi inovare, Investiţia 4. Proiecte transfrontaliere şi multinaţionale - Procesoare cu consum redus de energie şi cipuri semiconductoare, finanţate prin Mecanismul de redresare şi rezilienţă, aprobat prin Hotărârea Guvernului nr. 856/2022; </w:t>
      </w:r>
    </w:p>
    <w:p w14:paraId="004BFEB9" w14:textId="77777777"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Ordinul ministrului economiei nr. 99/01.02.2022 privind preselecția potențialilor participanți direcți și indirecți la proiectul important de interes comun european în microelectronică și tehnologia comunicației;</w:t>
      </w:r>
    </w:p>
    <w:p w14:paraId="4EA1D12E" w14:textId="68DBB1EF" w:rsidR="000654CE" w:rsidRDefault="00000000">
      <w:pPr>
        <w:pStyle w:val="ListParagraph"/>
        <w:numPr>
          <w:ilvl w:val="0"/>
          <w:numId w:val="2"/>
        </w:numPr>
        <w:tabs>
          <w:tab w:val="left" w:pos="1620"/>
        </w:tabs>
        <w:spacing w:before="120" w:after="120" w:line="276" w:lineRule="auto"/>
        <w:contextualSpacing w:val="0"/>
        <w:jc w:val="both"/>
        <w:rPr>
          <w:rFonts w:ascii="Trebuchet MS" w:hAnsi="Trebuchet MS"/>
          <w:sz w:val="22"/>
          <w:szCs w:val="22"/>
        </w:rPr>
      </w:pPr>
      <w:r>
        <w:rPr>
          <w:rFonts w:ascii="Trebuchet MS" w:hAnsi="Trebuchet MS"/>
          <w:sz w:val="22"/>
          <w:szCs w:val="22"/>
        </w:rPr>
        <w:t>Ordinul comun MIPE/MEAT n</w:t>
      </w:r>
      <w:r w:rsidRPr="006C016D">
        <w:rPr>
          <w:rFonts w:ascii="Trebuchet MS" w:hAnsi="Trebuchet MS"/>
          <w:sz w:val="22"/>
          <w:szCs w:val="22"/>
        </w:rPr>
        <w:t xml:space="preserve">r. </w:t>
      </w:r>
      <w:r w:rsidR="0027019B">
        <w:rPr>
          <w:rFonts w:ascii="Trebuchet MS" w:hAnsi="Trebuchet MS"/>
          <w:sz w:val="22"/>
          <w:szCs w:val="22"/>
        </w:rPr>
        <w:t xml:space="preserve">3875/1140/25.10.2023 </w:t>
      </w:r>
      <w:r w:rsidR="0027019B" w:rsidRPr="006C016D">
        <w:rPr>
          <w:rFonts w:ascii="Trebuchet MS" w:hAnsi="Trebuchet MS"/>
          <w:sz w:val="22"/>
          <w:szCs w:val="22"/>
        </w:rPr>
        <w:t xml:space="preserve"> </w:t>
      </w:r>
      <w:r>
        <w:rPr>
          <w:rFonts w:ascii="Trebuchet MS" w:hAnsi="Trebuchet MS"/>
          <w:sz w:val="22"/>
          <w:szCs w:val="22"/>
        </w:rPr>
        <w:t xml:space="preserve">privind aprobarea ajutoarelor de stat individuale asociate Programului pentru acordarea de sprijin financiar din fonduri externe nerambursabile pentru proiectele care se finanţează din cadrul Componentei C9. Suport pentru sectorul privat, cercetare, dezvoltare şi inovare, Investiţia 4. Proiecte transfrontaliere şi multinaţionale - Procesoare cu consum redus de energie şi cipuri semiconductoare, finanţate prin Mecanismul de redresare şi rezilienţă. </w:t>
      </w:r>
    </w:p>
    <w:p w14:paraId="30E2C148" w14:textId="4F45FE68" w:rsidR="000654CE" w:rsidRDefault="00000000">
      <w:pPr>
        <w:pStyle w:val="Heading2"/>
        <w:shd w:val="clear" w:color="auto" w:fill="BDD6EE" w:themeFill="accent1" w:themeFillTint="66"/>
        <w:spacing w:before="120" w:after="120" w:line="276" w:lineRule="auto"/>
        <w:ind w:left="720"/>
        <w:rPr>
          <w:rFonts w:ascii="Trebuchet MS" w:hAnsi="Trebuchet MS"/>
          <w:b/>
          <w:color w:val="auto"/>
          <w:sz w:val="22"/>
          <w:szCs w:val="22"/>
        </w:rPr>
      </w:pPr>
      <w:bookmarkStart w:id="21" w:name="_Toc144988183"/>
      <w:bookmarkStart w:id="22" w:name="_Toc149224626"/>
      <w:r>
        <w:rPr>
          <w:rFonts w:ascii="Trebuchet MS" w:hAnsi="Trebuchet MS"/>
          <w:b/>
          <w:color w:val="auto"/>
          <w:sz w:val="22"/>
          <w:szCs w:val="22"/>
        </w:rPr>
        <w:t>3.1.2 Depunerea și verificarea cererilor de finanțare și a anexelor</w:t>
      </w:r>
      <w:bookmarkEnd w:id="21"/>
      <w:bookmarkEnd w:id="22"/>
    </w:p>
    <w:p w14:paraId="061DAC65" w14:textId="23BB336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Participanții direcți vor completa formularul cererii de finanțare și anexele acesteia și le vor încărca în sistemul informatic PNRR (proiecte.pnrr.gov.ro),  În scopul înregistrării cererii,  PD vor parcurge etapele necesare pentru  crearea unui cont, în conformitate cu Manualul de utilizare platforma proiecte.pnrr.gov.ro (</w:t>
      </w:r>
      <w:hyperlink r:id="rId10">
        <w:r>
          <w:rPr>
            <w:rStyle w:val="Hyperlink"/>
            <w:rFonts w:ascii="Trebuchet MS" w:hAnsi="Trebuchet MS"/>
            <w:sz w:val="22"/>
            <w:szCs w:val="22"/>
          </w:rPr>
          <w:t>https://mfe.gov.ro/manual-de-utilizare-platforma-proiecte-pnrr-gov-ro-actualizat-la-data-de-13-februarie-2023/</w:t>
        </w:r>
      </w:hyperlink>
      <w:r>
        <w:rPr>
          <w:rFonts w:ascii="Trebuchet MS" w:hAnsi="Trebuchet MS"/>
          <w:sz w:val="22"/>
          <w:szCs w:val="22"/>
        </w:rPr>
        <w:t xml:space="preserve">). </w:t>
      </w:r>
    </w:p>
    <w:p w14:paraId="7FDE1D67" w14:textId="5FAFCBAF"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Participanții direcți vor depune documentația în format electronic, asumată prin semnătură electronică de către reprezentantul legal. În situația în care documentația va fi depusă de o persoană împuternicită, documentația va fi însoțită de împuternicire notarială.</w:t>
      </w:r>
    </w:p>
    <w:p w14:paraId="32BAA6C0" w14:textId="009E54FA"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Cererea de finanțare conține o scurtă descriere a proiectului, a obiectivelor, indicatorilor, costului, riscurilor, calendarului și planul achizițiilor publice, precum și o prezentare a măsurilor luate de beneficiar pentru respectarea principiului </w:t>
      </w:r>
      <w:r>
        <w:rPr>
          <w:rFonts w:ascii="Trebuchet MS" w:hAnsi="Trebuchet MS"/>
          <w:i/>
          <w:iCs/>
          <w:sz w:val="22"/>
          <w:szCs w:val="22"/>
        </w:rPr>
        <w:t>„de a nu prejudicia în mod semnificativ”</w:t>
      </w:r>
      <w:r>
        <w:rPr>
          <w:rFonts w:ascii="Trebuchet MS" w:hAnsi="Trebuchet MS"/>
          <w:sz w:val="22"/>
          <w:szCs w:val="22"/>
        </w:rPr>
        <w:t xml:space="preserve"> (DNSH) și a altor măsuri de protecție a mediului</w:t>
      </w:r>
      <w:r w:rsidR="00D90FB0">
        <w:rPr>
          <w:rFonts w:ascii="Trebuchet MS" w:hAnsi="Trebuchet MS"/>
          <w:sz w:val="22"/>
          <w:szCs w:val="22"/>
        </w:rPr>
        <w:t xml:space="preserve"> (modelul cererii de finanțare este prevăzut în Anexa 1 la prezentul Ghid)</w:t>
      </w:r>
      <w:r>
        <w:rPr>
          <w:rFonts w:ascii="Trebuchet MS" w:hAnsi="Trebuchet MS"/>
          <w:sz w:val="22"/>
          <w:szCs w:val="22"/>
        </w:rPr>
        <w:t>.</w:t>
      </w:r>
    </w:p>
    <w:p w14:paraId="09B73CF6" w14:textId="7625ED89" w:rsidR="006C016D" w:rsidRDefault="00000000" w:rsidP="006C016D">
      <w:pPr>
        <w:pStyle w:val="ListParagraph"/>
        <w:spacing w:before="240" w:after="120" w:line="276" w:lineRule="auto"/>
        <w:ind w:left="990"/>
        <w:jc w:val="both"/>
        <w:rPr>
          <w:rFonts w:ascii="Trebuchet MS" w:hAnsi="Trebuchet MS"/>
          <w:sz w:val="22"/>
          <w:szCs w:val="22"/>
        </w:rPr>
      </w:pPr>
      <w:r>
        <w:rPr>
          <w:rFonts w:ascii="Trebuchet MS" w:hAnsi="Trebuchet MS"/>
          <w:sz w:val="22"/>
          <w:szCs w:val="22"/>
        </w:rPr>
        <w:t>La depunere, cererea de finanțare este însoțită</w:t>
      </w:r>
      <w:r w:rsidR="006C016D">
        <w:rPr>
          <w:rFonts w:ascii="Trebuchet MS" w:hAnsi="Trebuchet MS"/>
          <w:sz w:val="22"/>
          <w:szCs w:val="22"/>
        </w:rPr>
        <w:t xml:space="preserve"> documentele în forma în care au făcut obiectul notificării Comisiei Europene:</w:t>
      </w:r>
    </w:p>
    <w:p w14:paraId="55AA6C5A" w14:textId="474C294E" w:rsidR="006C016D" w:rsidRDefault="006C016D" w:rsidP="006C016D">
      <w:pPr>
        <w:pStyle w:val="ListParagraph"/>
        <w:numPr>
          <w:ilvl w:val="0"/>
          <w:numId w:val="18"/>
        </w:numPr>
        <w:spacing w:before="240" w:after="120" w:line="276" w:lineRule="auto"/>
        <w:jc w:val="both"/>
        <w:rPr>
          <w:rFonts w:ascii="Trebuchet MS" w:hAnsi="Trebuchet MS"/>
          <w:sz w:val="22"/>
          <w:szCs w:val="22"/>
        </w:rPr>
      </w:pPr>
      <w:bookmarkStart w:id="23" w:name="_Hlk149310458"/>
      <w:r>
        <w:rPr>
          <w:rFonts w:ascii="Trebuchet MS" w:hAnsi="Trebuchet MS"/>
          <w:sz w:val="22"/>
          <w:szCs w:val="22"/>
        </w:rPr>
        <w:t>Portofoliul de proiect – (</w:t>
      </w:r>
      <w:r w:rsidRPr="00FE6D5A">
        <w:rPr>
          <w:rFonts w:ascii="Trebuchet MS" w:hAnsi="Trebuchet MS"/>
          <w:i/>
          <w:iCs/>
          <w:sz w:val="22"/>
          <w:szCs w:val="22"/>
        </w:rPr>
        <w:t>Project Portfolio</w:t>
      </w:r>
      <w:r>
        <w:rPr>
          <w:rFonts w:ascii="Trebuchet MS" w:hAnsi="Trebuchet MS"/>
          <w:sz w:val="22"/>
          <w:szCs w:val="22"/>
        </w:rPr>
        <w:t>)</w:t>
      </w:r>
      <w:r w:rsidRPr="00FE6D5A">
        <w:rPr>
          <w:rFonts w:ascii="Trebuchet MS" w:hAnsi="Trebuchet MS"/>
          <w:sz w:val="22"/>
          <w:szCs w:val="22"/>
        </w:rPr>
        <w:t>;</w:t>
      </w:r>
    </w:p>
    <w:p w14:paraId="060BA160" w14:textId="5ACBC17D" w:rsidR="006C016D" w:rsidRDefault="006C016D" w:rsidP="006C016D">
      <w:pPr>
        <w:pStyle w:val="ListParagraph"/>
        <w:numPr>
          <w:ilvl w:val="0"/>
          <w:numId w:val="18"/>
        </w:numPr>
        <w:spacing w:before="240" w:after="120" w:line="276" w:lineRule="auto"/>
        <w:jc w:val="both"/>
        <w:rPr>
          <w:rFonts w:ascii="Trebuchet MS" w:hAnsi="Trebuchet MS"/>
          <w:sz w:val="22"/>
          <w:szCs w:val="22"/>
        </w:rPr>
      </w:pPr>
      <w:r>
        <w:rPr>
          <w:rFonts w:ascii="Trebuchet MS" w:hAnsi="Trebuchet MS"/>
          <w:sz w:val="22"/>
          <w:szCs w:val="22"/>
        </w:rPr>
        <w:t>Deficitul de finanțare (</w:t>
      </w:r>
      <w:r w:rsidRPr="00FE6D5A">
        <w:rPr>
          <w:rFonts w:ascii="Trebuchet MS" w:hAnsi="Trebuchet MS"/>
          <w:i/>
          <w:iCs/>
          <w:sz w:val="22"/>
          <w:szCs w:val="22"/>
        </w:rPr>
        <w:t>Funding Gap</w:t>
      </w:r>
      <w:r>
        <w:rPr>
          <w:rFonts w:ascii="Trebuchet MS" w:hAnsi="Trebuchet MS"/>
          <w:sz w:val="22"/>
          <w:szCs w:val="22"/>
        </w:rPr>
        <w:t>)</w:t>
      </w:r>
      <w:r w:rsidRPr="00FE6D5A">
        <w:rPr>
          <w:rFonts w:ascii="Trebuchet MS" w:hAnsi="Trebuchet MS"/>
          <w:sz w:val="22"/>
          <w:szCs w:val="22"/>
        </w:rPr>
        <w:t>;</w:t>
      </w:r>
    </w:p>
    <w:p w14:paraId="073A89D7" w14:textId="71F5AE18" w:rsidR="006C016D" w:rsidRDefault="006C016D" w:rsidP="006C016D">
      <w:pPr>
        <w:pStyle w:val="ListParagraph"/>
        <w:numPr>
          <w:ilvl w:val="0"/>
          <w:numId w:val="18"/>
        </w:numPr>
        <w:spacing w:before="240" w:after="120" w:line="276" w:lineRule="auto"/>
        <w:jc w:val="both"/>
        <w:rPr>
          <w:rFonts w:ascii="Trebuchet MS" w:hAnsi="Trebuchet MS"/>
          <w:sz w:val="22"/>
          <w:szCs w:val="22"/>
        </w:rPr>
      </w:pPr>
      <w:r>
        <w:rPr>
          <w:rFonts w:ascii="Trebuchet MS" w:hAnsi="Trebuchet MS"/>
          <w:sz w:val="22"/>
          <w:szCs w:val="22"/>
        </w:rPr>
        <w:t>Lista codurilor activităților prin care vor fi generate produsele (</w:t>
      </w:r>
      <w:r>
        <w:rPr>
          <w:rFonts w:ascii="Trebuchet MS" w:hAnsi="Trebuchet MS"/>
          <w:i/>
          <w:iCs/>
          <w:sz w:val="22"/>
          <w:szCs w:val="22"/>
        </w:rPr>
        <w:t>CAEN/</w:t>
      </w:r>
      <w:r w:rsidRPr="00FE6D5A">
        <w:rPr>
          <w:rFonts w:ascii="Trebuchet MS" w:hAnsi="Trebuchet MS"/>
          <w:i/>
          <w:iCs/>
          <w:sz w:val="22"/>
          <w:szCs w:val="22"/>
        </w:rPr>
        <w:t>PRODCOM</w:t>
      </w:r>
      <w:r>
        <w:rPr>
          <w:rFonts w:ascii="Trebuchet MS" w:hAnsi="Trebuchet MS"/>
          <w:sz w:val="22"/>
          <w:szCs w:val="22"/>
        </w:rPr>
        <w:t>)</w:t>
      </w:r>
      <w:r w:rsidRPr="00FE6D5A">
        <w:rPr>
          <w:rFonts w:ascii="Trebuchet MS" w:hAnsi="Trebuchet MS"/>
          <w:sz w:val="22"/>
          <w:szCs w:val="22"/>
        </w:rPr>
        <w:t>;</w:t>
      </w:r>
    </w:p>
    <w:p w14:paraId="6BC6A5CA" w14:textId="1A4F906C" w:rsidR="006C016D" w:rsidRDefault="006C016D" w:rsidP="006C016D">
      <w:pPr>
        <w:pStyle w:val="ListParagraph"/>
        <w:numPr>
          <w:ilvl w:val="0"/>
          <w:numId w:val="18"/>
        </w:numPr>
        <w:spacing w:before="240" w:after="120" w:line="276" w:lineRule="auto"/>
        <w:jc w:val="both"/>
        <w:rPr>
          <w:rFonts w:ascii="Trebuchet MS" w:hAnsi="Trebuchet MS"/>
          <w:sz w:val="22"/>
          <w:szCs w:val="22"/>
        </w:rPr>
      </w:pPr>
      <w:r>
        <w:rPr>
          <w:rFonts w:ascii="Trebuchet MS" w:hAnsi="Trebuchet MS"/>
          <w:sz w:val="22"/>
          <w:szCs w:val="22"/>
        </w:rPr>
        <w:t>Fișa de proiect a PD (</w:t>
      </w:r>
      <w:r w:rsidRPr="00FE6D5A">
        <w:rPr>
          <w:rFonts w:ascii="Trebuchet MS" w:hAnsi="Trebuchet MS"/>
          <w:i/>
          <w:iCs/>
          <w:sz w:val="22"/>
          <w:szCs w:val="22"/>
        </w:rPr>
        <w:t>Project factsheet Direct Participant</w:t>
      </w:r>
      <w:r>
        <w:rPr>
          <w:rFonts w:ascii="Trebuchet MS" w:hAnsi="Trebuchet MS"/>
          <w:sz w:val="22"/>
          <w:szCs w:val="22"/>
        </w:rPr>
        <w:t>)</w:t>
      </w:r>
      <w:r w:rsidRPr="00FE6D5A">
        <w:rPr>
          <w:rFonts w:ascii="Trebuchet MS" w:hAnsi="Trebuchet MS"/>
          <w:sz w:val="22"/>
          <w:szCs w:val="22"/>
        </w:rPr>
        <w:t>;</w:t>
      </w:r>
    </w:p>
    <w:p w14:paraId="3ED3286D" w14:textId="7AF098DE" w:rsidR="006C016D" w:rsidRDefault="006C016D" w:rsidP="006C016D">
      <w:pPr>
        <w:pStyle w:val="ListParagraph"/>
        <w:numPr>
          <w:ilvl w:val="0"/>
          <w:numId w:val="18"/>
        </w:numPr>
        <w:spacing w:before="240" w:after="120" w:line="276" w:lineRule="auto"/>
        <w:jc w:val="both"/>
        <w:rPr>
          <w:rFonts w:ascii="Trebuchet MS" w:hAnsi="Trebuchet MS"/>
          <w:sz w:val="22"/>
          <w:szCs w:val="22"/>
        </w:rPr>
      </w:pPr>
      <w:r>
        <w:rPr>
          <w:rFonts w:ascii="Trebuchet MS" w:hAnsi="Trebuchet MS"/>
          <w:sz w:val="22"/>
          <w:szCs w:val="22"/>
        </w:rPr>
        <w:t>Scrisori de intenție pentru colaborarea cu alți participanți (</w:t>
      </w:r>
      <w:r w:rsidRPr="00FE6D5A">
        <w:rPr>
          <w:rFonts w:ascii="Trebuchet MS" w:hAnsi="Trebuchet MS"/>
          <w:i/>
          <w:iCs/>
          <w:sz w:val="22"/>
          <w:szCs w:val="22"/>
        </w:rPr>
        <w:t>Letters of intent</w:t>
      </w:r>
      <w:r w:rsidR="00BD7A6C">
        <w:rPr>
          <w:rFonts w:ascii="Trebuchet MS" w:hAnsi="Trebuchet MS"/>
          <w:sz w:val="22"/>
          <w:szCs w:val="22"/>
        </w:rPr>
        <w:t>)</w:t>
      </w:r>
      <w:r w:rsidRPr="00FE6D5A">
        <w:rPr>
          <w:rFonts w:ascii="Trebuchet MS" w:hAnsi="Trebuchet MS"/>
          <w:sz w:val="22"/>
          <w:szCs w:val="22"/>
        </w:rPr>
        <w:t>.</w:t>
      </w:r>
    </w:p>
    <w:p w14:paraId="112B739C" w14:textId="619E4773" w:rsidR="00BD7A6C" w:rsidRPr="00B542FF" w:rsidRDefault="00FF4F43" w:rsidP="00D61223">
      <w:pPr>
        <w:spacing w:before="240" w:after="120" w:line="276" w:lineRule="auto"/>
        <w:ind w:left="990"/>
        <w:jc w:val="both"/>
        <w:rPr>
          <w:rFonts w:ascii="Trebuchet MS" w:hAnsi="Trebuchet MS"/>
          <w:sz w:val="22"/>
          <w:szCs w:val="22"/>
        </w:rPr>
      </w:pPr>
      <w:r w:rsidRPr="00B542FF">
        <w:rPr>
          <w:rFonts w:ascii="Trebuchet MS" w:hAnsi="Trebuchet MS"/>
          <w:sz w:val="22"/>
          <w:szCs w:val="22"/>
        </w:rPr>
        <w:t xml:space="preserve">În situația în care un proiect aprobat de Comisia Europeană este realizat în parteneriat, </w:t>
      </w:r>
      <w:r w:rsidR="003A225E" w:rsidRPr="00B542FF">
        <w:rPr>
          <w:rFonts w:ascii="Trebuchet MS" w:hAnsi="Trebuchet MS"/>
          <w:sz w:val="22"/>
          <w:szCs w:val="22"/>
        </w:rPr>
        <w:t>în conformitate cu art. 2, lit.) jj și art. 27 din OUG nr. 124/2021</w:t>
      </w:r>
      <w:r w:rsidRPr="00B542FF">
        <w:rPr>
          <w:rFonts w:ascii="Trebuchet MS" w:hAnsi="Trebuchet MS"/>
          <w:sz w:val="22"/>
          <w:szCs w:val="22"/>
        </w:rPr>
        <w:t>, întreprinderea lider de parteneriat</w:t>
      </w:r>
      <w:r w:rsidR="003314BB" w:rsidRPr="00B542FF">
        <w:rPr>
          <w:rFonts w:ascii="Trebuchet MS" w:hAnsi="Trebuchet MS"/>
          <w:sz w:val="22"/>
          <w:szCs w:val="22"/>
        </w:rPr>
        <w:t xml:space="preserve"> este participantul direct care </w:t>
      </w:r>
      <w:r w:rsidRPr="00B542FF">
        <w:rPr>
          <w:rFonts w:ascii="Trebuchet MS" w:hAnsi="Trebuchet MS"/>
          <w:sz w:val="22"/>
          <w:szCs w:val="22"/>
        </w:rPr>
        <w:t>va prezenta acordul de parteneriat</w:t>
      </w:r>
      <w:r w:rsidR="003A225E" w:rsidRPr="00B542FF">
        <w:rPr>
          <w:rFonts w:ascii="Trebuchet MS" w:hAnsi="Trebuchet MS"/>
          <w:sz w:val="22"/>
          <w:szCs w:val="22"/>
        </w:rPr>
        <w:t xml:space="preserve"> la depunerea cererii de finanțare</w:t>
      </w:r>
      <w:r w:rsidRPr="00B542FF">
        <w:rPr>
          <w:rFonts w:ascii="Trebuchet MS" w:hAnsi="Trebuchet MS"/>
          <w:sz w:val="22"/>
          <w:szCs w:val="22"/>
        </w:rPr>
        <w:t>.</w:t>
      </w:r>
      <w:r w:rsidR="005A075F" w:rsidRPr="00B542FF">
        <w:rPr>
          <w:rFonts w:ascii="Trebuchet MS" w:hAnsi="Trebuchet MS"/>
          <w:sz w:val="22"/>
          <w:szCs w:val="22"/>
        </w:rPr>
        <w:t xml:space="preserve"> </w:t>
      </w:r>
      <w:r w:rsidR="009C629E" w:rsidRPr="00B542FF">
        <w:rPr>
          <w:rFonts w:ascii="Trebuchet MS" w:hAnsi="Trebuchet MS"/>
          <w:sz w:val="22"/>
          <w:szCs w:val="22"/>
        </w:rPr>
        <w:t>P</w:t>
      </w:r>
      <w:r w:rsidR="005A075F" w:rsidRPr="00B542FF">
        <w:rPr>
          <w:rFonts w:ascii="Trebuchet MS" w:hAnsi="Trebuchet MS"/>
          <w:sz w:val="22"/>
          <w:szCs w:val="22"/>
        </w:rPr>
        <w:t xml:space="preserve">arteneriatele se pot realiza doar în situația în care </w:t>
      </w:r>
      <w:r w:rsidR="0019298F" w:rsidRPr="00B542FF">
        <w:rPr>
          <w:rFonts w:ascii="Trebuchet MS" w:hAnsi="Trebuchet MS"/>
          <w:sz w:val="22"/>
          <w:szCs w:val="22"/>
        </w:rPr>
        <w:t>partenerii</w:t>
      </w:r>
      <w:r w:rsidR="002C75FD" w:rsidRPr="00B542FF">
        <w:rPr>
          <w:rFonts w:ascii="Trebuchet MS" w:hAnsi="Trebuchet MS"/>
          <w:sz w:val="22"/>
          <w:szCs w:val="22"/>
        </w:rPr>
        <w:t xml:space="preserve"> aparțin unei </w:t>
      </w:r>
      <w:r w:rsidR="003A225E" w:rsidRPr="00B542FF">
        <w:rPr>
          <w:rFonts w:ascii="Trebuchet MS" w:hAnsi="Trebuchet MS"/>
          <w:sz w:val="22"/>
          <w:szCs w:val="22"/>
        </w:rPr>
        <w:t>enti</w:t>
      </w:r>
      <w:r w:rsidR="005A075F" w:rsidRPr="00B542FF">
        <w:rPr>
          <w:rFonts w:ascii="Trebuchet MS" w:hAnsi="Trebuchet MS"/>
          <w:sz w:val="22"/>
          <w:szCs w:val="22"/>
        </w:rPr>
        <w:t>t</w:t>
      </w:r>
      <w:r w:rsidR="002C75FD" w:rsidRPr="00B542FF">
        <w:rPr>
          <w:rFonts w:ascii="Trebuchet MS" w:hAnsi="Trebuchet MS"/>
          <w:sz w:val="22"/>
          <w:szCs w:val="22"/>
        </w:rPr>
        <w:t>ăți</w:t>
      </w:r>
      <w:r w:rsidR="005A075F" w:rsidRPr="00B542FF">
        <w:rPr>
          <w:rFonts w:ascii="Trebuchet MS" w:hAnsi="Trebuchet MS"/>
          <w:sz w:val="22"/>
          <w:szCs w:val="22"/>
        </w:rPr>
        <w:t xml:space="preserve"> economic</w:t>
      </w:r>
      <w:r w:rsidR="002C75FD" w:rsidRPr="00B542FF">
        <w:rPr>
          <w:rFonts w:ascii="Trebuchet MS" w:hAnsi="Trebuchet MS"/>
          <w:sz w:val="22"/>
          <w:szCs w:val="22"/>
        </w:rPr>
        <w:t>e</w:t>
      </w:r>
      <w:r w:rsidR="005A075F" w:rsidRPr="00B542FF">
        <w:rPr>
          <w:rFonts w:ascii="Trebuchet MS" w:hAnsi="Trebuchet MS"/>
          <w:sz w:val="22"/>
          <w:szCs w:val="22"/>
        </w:rPr>
        <w:t xml:space="preserve"> unic</w:t>
      </w:r>
      <w:r w:rsidR="002C75FD" w:rsidRPr="00B542FF">
        <w:rPr>
          <w:rFonts w:ascii="Trebuchet MS" w:hAnsi="Trebuchet MS"/>
          <w:sz w:val="22"/>
          <w:szCs w:val="22"/>
        </w:rPr>
        <w:t>e</w:t>
      </w:r>
      <w:r w:rsidR="009C629E" w:rsidRPr="00B542FF">
        <w:rPr>
          <w:rFonts w:ascii="Trebuchet MS" w:hAnsi="Trebuchet MS"/>
          <w:sz w:val="22"/>
          <w:szCs w:val="22"/>
        </w:rPr>
        <w:t>, în acord cu jurisprudența Curții Europene de Justiție în domeniul concurenței</w:t>
      </w:r>
      <w:r w:rsidR="003A225E" w:rsidRPr="00B542FF">
        <w:rPr>
          <w:rFonts w:ascii="Trebuchet MS" w:hAnsi="Trebuchet MS"/>
          <w:sz w:val="22"/>
          <w:szCs w:val="22"/>
        </w:rPr>
        <w:t>.</w:t>
      </w:r>
    </w:p>
    <w:bookmarkEnd w:id="23"/>
    <w:p w14:paraId="24A1A2A8" w14:textId="44E46C83" w:rsidR="000654CE" w:rsidRPr="00B542FF" w:rsidRDefault="006C016D" w:rsidP="00012D1B">
      <w:pPr>
        <w:spacing w:line="276" w:lineRule="auto"/>
        <w:ind w:left="990"/>
        <w:jc w:val="both"/>
        <w:rPr>
          <w:rFonts w:ascii="Trebuchet MS" w:hAnsi="Trebuchet MS"/>
          <w:sz w:val="22"/>
          <w:szCs w:val="22"/>
        </w:rPr>
      </w:pPr>
      <w:r w:rsidRPr="00B542FF">
        <w:rPr>
          <w:rFonts w:ascii="Trebuchet MS" w:hAnsi="Trebuchet MS"/>
          <w:sz w:val="22"/>
          <w:szCs w:val="22"/>
        </w:rPr>
        <w:t>Cererea de finanțare este însoțită de declarațiile obligatorii cuprinse în Anexa 2 la prezentul ghid:</w:t>
      </w:r>
    </w:p>
    <w:p w14:paraId="62FBF1C2" w14:textId="6704CFF0" w:rsidR="000654CE" w:rsidRPr="00B542FF" w:rsidRDefault="00000000" w:rsidP="00012D1B">
      <w:pPr>
        <w:spacing w:line="276" w:lineRule="auto"/>
        <w:ind w:left="1440"/>
        <w:jc w:val="both"/>
        <w:rPr>
          <w:rFonts w:ascii="Trebuchet MS" w:hAnsi="Trebuchet MS"/>
          <w:sz w:val="22"/>
          <w:szCs w:val="22"/>
        </w:rPr>
      </w:pPr>
      <w:bookmarkStart w:id="24" w:name="_Hlk149051297"/>
      <w:bookmarkStart w:id="25" w:name="_Hlk149139845"/>
      <w:r w:rsidRPr="00B542FF">
        <w:rPr>
          <w:rFonts w:ascii="Trebuchet MS" w:hAnsi="Trebuchet MS"/>
          <w:sz w:val="22"/>
          <w:szCs w:val="22"/>
        </w:rPr>
        <w:t xml:space="preserve">1. Declarația de angajament – </w:t>
      </w:r>
      <w:r w:rsidR="0018278B" w:rsidRPr="00B542FF">
        <w:rPr>
          <w:rFonts w:ascii="Trebuchet MS" w:hAnsi="Trebuchet MS"/>
          <w:sz w:val="22"/>
          <w:szCs w:val="22"/>
        </w:rPr>
        <w:t xml:space="preserve">Anexa </w:t>
      </w:r>
      <w:r w:rsidR="006C016D" w:rsidRPr="00B542FF">
        <w:rPr>
          <w:rFonts w:ascii="Trebuchet MS" w:hAnsi="Trebuchet MS"/>
          <w:sz w:val="22"/>
          <w:szCs w:val="22"/>
        </w:rPr>
        <w:t>2</w:t>
      </w:r>
      <w:r w:rsidR="00A806E8" w:rsidRPr="00B542FF">
        <w:rPr>
          <w:rFonts w:ascii="Trebuchet MS" w:hAnsi="Trebuchet MS"/>
          <w:sz w:val="22"/>
          <w:szCs w:val="22"/>
        </w:rPr>
        <w:t xml:space="preserve">. </w:t>
      </w:r>
      <w:r w:rsidRPr="00B542FF">
        <w:rPr>
          <w:rFonts w:ascii="Trebuchet MS" w:hAnsi="Trebuchet MS"/>
          <w:sz w:val="22"/>
          <w:szCs w:val="22"/>
        </w:rPr>
        <w:t xml:space="preserve">Model A </w:t>
      </w:r>
    </w:p>
    <w:p w14:paraId="76769BC8" w14:textId="2A923720" w:rsidR="000654CE" w:rsidRPr="00B542FF" w:rsidRDefault="00000000" w:rsidP="00012D1B">
      <w:pPr>
        <w:spacing w:line="276" w:lineRule="auto"/>
        <w:ind w:left="1440"/>
        <w:jc w:val="both"/>
        <w:rPr>
          <w:rFonts w:ascii="Trebuchet MS" w:hAnsi="Trebuchet MS"/>
          <w:sz w:val="22"/>
          <w:szCs w:val="22"/>
        </w:rPr>
      </w:pPr>
      <w:r w:rsidRPr="00B542FF">
        <w:rPr>
          <w:rFonts w:ascii="Trebuchet MS" w:hAnsi="Trebuchet MS"/>
          <w:sz w:val="22"/>
          <w:szCs w:val="22"/>
        </w:rPr>
        <w:t xml:space="preserve">2. Declarația de eligibilitate – </w:t>
      </w:r>
      <w:r w:rsidR="0018278B" w:rsidRPr="00B542FF">
        <w:rPr>
          <w:rFonts w:ascii="Trebuchet MS" w:hAnsi="Trebuchet MS"/>
          <w:sz w:val="22"/>
          <w:szCs w:val="22"/>
        </w:rPr>
        <w:t xml:space="preserve">Anexa </w:t>
      </w:r>
      <w:r w:rsidR="006C016D" w:rsidRPr="00B542FF">
        <w:rPr>
          <w:rFonts w:ascii="Trebuchet MS" w:hAnsi="Trebuchet MS"/>
          <w:sz w:val="22"/>
          <w:szCs w:val="22"/>
        </w:rPr>
        <w:t>2</w:t>
      </w:r>
      <w:r w:rsidR="00A806E8" w:rsidRPr="00B542FF">
        <w:rPr>
          <w:rFonts w:ascii="Trebuchet MS" w:hAnsi="Trebuchet MS"/>
          <w:sz w:val="22"/>
          <w:szCs w:val="22"/>
        </w:rPr>
        <w:t xml:space="preserve">. </w:t>
      </w:r>
      <w:r w:rsidRPr="00B542FF">
        <w:rPr>
          <w:rFonts w:ascii="Trebuchet MS" w:hAnsi="Trebuchet MS"/>
          <w:sz w:val="22"/>
          <w:szCs w:val="22"/>
        </w:rPr>
        <w:t xml:space="preserve">Model B; </w:t>
      </w:r>
    </w:p>
    <w:p w14:paraId="3F432E9C" w14:textId="146DDE41" w:rsidR="000654CE" w:rsidRPr="00B542FF" w:rsidRDefault="00000000" w:rsidP="00012D1B">
      <w:pPr>
        <w:spacing w:line="276" w:lineRule="auto"/>
        <w:ind w:left="1440"/>
        <w:jc w:val="both"/>
        <w:rPr>
          <w:rFonts w:ascii="Trebuchet MS" w:hAnsi="Trebuchet MS"/>
          <w:sz w:val="22"/>
          <w:szCs w:val="22"/>
        </w:rPr>
      </w:pPr>
      <w:r w:rsidRPr="00B542FF">
        <w:rPr>
          <w:rFonts w:ascii="Trebuchet MS" w:hAnsi="Trebuchet MS"/>
          <w:sz w:val="22"/>
          <w:szCs w:val="22"/>
        </w:rPr>
        <w:t xml:space="preserve">3. Declarația privind eligibilitatea TVA – </w:t>
      </w:r>
      <w:r w:rsidR="0018278B" w:rsidRPr="00B542FF">
        <w:rPr>
          <w:rFonts w:ascii="Trebuchet MS" w:hAnsi="Trebuchet MS"/>
          <w:sz w:val="22"/>
          <w:szCs w:val="22"/>
        </w:rPr>
        <w:t xml:space="preserve">Anexa </w:t>
      </w:r>
      <w:r w:rsidR="006C016D" w:rsidRPr="00B542FF">
        <w:rPr>
          <w:rFonts w:ascii="Trebuchet MS" w:hAnsi="Trebuchet MS"/>
          <w:sz w:val="22"/>
          <w:szCs w:val="22"/>
        </w:rPr>
        <w:t>2</w:t>
      </w:r>
      <w:r w:rsidR="00A806E8" w:rsidRPr="00B542FF">
        <w:rPr>
          <w:rFonts w:ascii="Trebuchet MS" w:hAnsi="Trebuchet MS"/>
          <w:sz w:val="22"/>
          <w:szCs w:val="22"/>
        </w:rPr>
        <w:t xml:space="preserve">. </w:t>
      </w:r>
      <w:r w:rsidRPr="00B542FF">
        <w:rPr>
          <w:rFonts w:ascii="Trebuchet MS" w:hAnsi="Trebuchet MS"/>
          <w:sz w:val="22"/>
          <w:szCs w:val="22"/>
        </w:rPr>
        <w:t xml:space="preserve">Model C; </w:t>
      </w:r>
      <w:r w:rsidR="0018278B" w:rsidRPr="00B542FF">
        <w:rPr>
          <w:rFonts w:ascii="Trebuchet MS" w:hAnsi="Trebuchet MS"/>
          <w:sz w:val="22"/>
          <w:szCs w:val="22"/>
        </w:rPr>
        <w:t xml:space="preserve"> </w:t>
      </w:r>
    </w:p>
    <w:p w14:paraId="0F5FE054" w14:textId="510621D1" w:rsidR="000654CE" w:rsidRPr="00B542FF" w:rsidRDefault="00000000" w:rsidP="00012D1B">
      <w:pPr>
        <w:spacing w:line="276" w:lineRule="auto"/>
        <w:ind w:left="1440"/>
        <w:jc w:val="both"/>
        <w:rPr>
          <w:rFonts w:ascii="Trebuchet MS" w:hAnsi="Trebuchet MS"/>
          <w:sz w:val="22"/>
          <w:szCs w:val="22"/>
        </w:rPr>
      </w:pPr>
      <w:r w:rsidRPr="00B542FF">
        <w:rPr>
          <w:rFonts w:ascii="Trebuchet MS" w:hAnsi="Trebuchet MS"/>
          <w:sz w:val="22"/>
          <w:szCs w:val="22"/>
        </w:rPr>
        <w:t xml:space="preserve">4. Consimțământ privind prelucrarea datelor cu caracter personal – </w:t>
      </w:r>
      <w:r w:rsidR="0018278B" w:rsidRPr="00B542FF">
        <w:rPr>
          <w:rFonts w:ascii="Trebuchet MS" w:hAnsi="Trebuchet MS"/>
          <w:sz w:val="22"/>
          <w:szCs w:val="22"/>
        </w:rPr>
        <w:t xml:space="preserve">Anexa </w:t>
      </w:r>
      <w:r w:rsidR="006C016D" w:rsidRPr="00B542FF">
        <w:rPr>
          <w:rFonts w:ascii="Trebuchet MS" w:hAnsi="Trebuchet MS"/>
          <w:sz w:val="22"/>
          <w:szCs w:val="22"/>
        </w:rPr>
        <w:t>2</w:t>
      </w:r>
      <w:r w:rsidR="00A806E8" w:rsidRPr="00B542FF">
        <w:rPr>
          <w:rFonts w:ascii="Trebuchet MS" w:hAnsi="Trebuchet MS"/>
          <w:sz w:val="22"/>
          <w:szCs w:val="22"/>
        </w:rPr>
        <w:t xml:space="preserve">. </w:t>
      </w:r>
      <w:r w:rsidRPr="00B542FF">
        <w:rPr>
          <w:rFonts w:ascii="Trebuchet MS" w:hAnsi="Trebuchet MS"/>
          <w:sz w:val="22"/>
          <w:szCs w:val="22"/>
        </w:rPr>
        <w:t xml:space="preserve">Model D; </w:t>
      </w:r>
    </w:p>
    <w:p w14:paraId="6C2DBF32" w14:textId="4A0AE4E3" w:rsidR="000654CE" w:rsidRPr="00B542FF" w:rsidRDefault="00000000" w:rsidP="00012D1B">
      <w:pPr>
        <w:spacing w:line="276" w:lineRule="auto"/>
        <w:ind w:left="1440"/>
        <w:jc w:val="both"/>
        <w:rPr>
          <w:rFonts w:ascii="Trebuchet MS" w:hAnsi="Trebuchet MS"/>
          <w:sz w:val="22"/>
          <w:szCs w:val="22"/>
        </w:rPr>
      </w:pPr>
      <w:r w:rsidRPr="00B542FF">
        <w:rPr>
          <w:rFonts w:ascii="Trebuchet MS" w:hAnsi="Trebuchet MS"/>
          <w:sz w:val="22"/>
          <w:szCs w:val="22"/>
        </w:rPr>
        <w:t xml:space="preserve">5. Declarația privind evitarea conflictelor de interese, a fraudei, corupției și a dublei finanțări – </w:t>
      </w:r>
      <w:r w:rsidR="0018278B" w:rsidRPr="00B542FF">
        <w:rPr>
          <w:rFonts w:ascii="Trebuchet MS" w:hAnsi="Trebuchet MS"/>
          <w:sz w:val="22"/>
          <w:szCs w:val="22"/>
        </w:rPr>
        <w:t xml:space="preserve">Anexa </w:t>
      </w:r>
      <w:r w:rsidR="006C016D" w:rsidRPr="00B542FF">
        <w:rPr>
          <w:rFonts w:ascii="Trebuchet MS" w:hAnsi="Trebuchet MS"/>
          <w:sz w:val="22"/>
          <w:szCs w:val="22"/>
        </w:rPr>
        <w:t>2</w:t>
      </w:r>
      <w:r w:rsidR="00A806E8" w:rsidRPr="00B542FF">
        <w:rPr>
          <w:rFonts w:ascii="Trebuchet MS" w:hAnsi="Trebuchet MS"/>
          <w:sz w:val="22"/>
          <w:szCs w:val="22"/>
        </w:rPr>
        <w:t xml:space="preserve">. </w:t>
      </w:r>
      <w:r w:rsidRPr="00B542FF">
        <w:rPr>
          <w:rFonts w:ascii="Trebuchet MS" w:hAnsi="Trebuchet MS"/>
          <w:sz w:val="22"/>
          <w:szCs w:val="22"/>
        </w:rPr>
        <w:t>Model E,</w:t>
      </w:r>
    </w:p>
    <w:p w14:paraId="320CC259" w14:textId="3B5C29DD" w:rsidR="000654CE" w:rsidRPr="00B542FF" w:rsidRDefault="00000000" w:rsidP="00012D1B">
      <w:pPr>
        <w:spacing w:line="276" w:lineRule="auto"/>
        <w:ind w:left="1440"/>
        <w:jc w:val="both"/>
        <w:rPr>
          <w:rFonts w:ascii="Trebuchet MS" w:hAnsi="Trebuchet MS"/>
          <w:sz w:val="22"/>
          <w:szCs w:val="22"/>
        </w:rPr>
      </w:pPr>
      <w:r w:rsidRPr="00B542FF">
        <w:rPr>
          <w:rFonts w:ascii="Trebuchet MS" w:hAnsi="Trebuchet MS"/>
          <w:sz w:val="22"/>
          <w:szCs w:val="22"/>
        </w:rPr>
        <w:t xml:space="preserve"> 6. Declarația privind respectarea principiului DNSH</w:t>
      </w:r>
      <w:r w:rsidR="003F22FA" w:rsidRPr="00B542FF">
        <w:rPr>
          <w:rFonts w:ascii="Trebuchet MS" w:hAnsi="Trebuchet MS"/>
          <w:sz w:val="22"/>
          <w:szCs w:val="22"/>
        </w:rPr>
        <w:t xml:space="preserve">, cu anexă Autoevelarea DNSH </w:t>
      </w:r>
      <w:r w:rsidRPr="00B542FF">
        <w:rPr>
          <w:rFonts w:ascii="Trebuchet MS" w:hAnsi="Trebuchet MS"/>
          <w:sz w:val="22"/>
          <w:szCs w:val="22"/>
        </w:rPr>
        <w:t xml:space="preserve">– </w:t>
      </w:r>
      <w:r w:rsidR="0018278B" w:rsidRPr="00B542FF">
        <w:rPr>
          <w:rFonts w:ascii="Trebuchet MS" w:hAnsi="Trebuchet MS"/>
          <w:sz w:val="22"/>
          <w:szCs w:val="22"/>
        </w:rPr>
        <w:t xml:space="preserve">Anexa </w:t>
      </w:r>
      <w:r w:rsidR="006C016D" w:rsidRPr="00B542FF">
        <w:rPr>
          <w:rFonts w:ascii="Trebuchet MS" w:hAnsi="Trebuchet MS"/>
          <w:sz w:val="22"/>
          <w:szCs w:val="22"/>
        </w:rPr>
        <w:t>2</w:t>
      </w:r>
      <w:r w:rsidR="00A806E8" w:rsidRPr="00B542FF">
        <w:rPr>
          <w:rFonts w:ascii="Trebuchet MS" w:hAnsi="Trebuchet MS"/>
          <w:sz w:val="22"/>
          <w:szCs w:val="22"/>
        </w:rPr>
        <w:t xml:space="preserve">. </w:t>
      </w:r>
      <w:r w:rsidRPr="00B542FF">
        <w:rPr>
          <w:rFonts w:ascii="Trebuchet MS" w:hAnsi="Trebuchet MS"/>
          <w:sz w:val="22"/>
          <w:szCs w:val="22"/>
        </w:rPr>
        <w:t>Model F</w:t>
      </w:r>
      <w:bookmarkEnd w:id="24"/>
      <w:r w:rsidR="006C016D" w:rsidRPr="00B542FF">
        <w:rPr>
          <w:rFonts w:ascii="Trebuchet MS" w:hAnsi="Trebuchet MS"/>
          <w:sz w:val="22"/>
          <w:szCs w:val="22"/>
        </w:rPr>
        <w:t>.</w:t>
      </w:r>
    </w:p>
    <w:p w14:paraId="0A72BC2F" w14:textId="661655FB" w:rsidR="008449EB" w:rsidRDefault="008449EB" w:rsidP="00012D1B">
      <w:pPr>
        <w:spacing w:line="276" w:lineRule="auto"/>
        <w:ind w:left="1440"/>
        <w:jc w:val="both"/>
        <w:rPr>
          <w:rFonts w:ascii="Trebuchet MS" w:hAnsi="Trebuchet MS"/>
          <w:sz w:val="22"/>
          <w:szCs w:val="22"/>
        </w:rPr>
      </w:pPr>
      <w:r w:rsidRPr="00B542FF">
        <w:rPr>
          <w:rFonts w:ascii="Trebuchet MS" w:hAnsi="Trebuchet MS"/>
          <w:sz w:val="22"/>
          <w:szCs w:val="22"/>
        </w:rPr>
        <w:t xml:space="preserve">7. </w:t>
      </w:r>
      <w:bookmarkStart w:id="26" w:name="_Hlk149310399"/>
      <w:r w:rsidRPr="00B542FF">
        <w:rPr>
          <w:rFonts w:ascii="Trebuchet MS" w:hAnsi="Trebuchet MS"/>
          <w:sz w:val="22"/>
          <w:szCs w:val="22"/>
        </w:rPr>
        <w:t xml:space="preserve">Declarația pe proprie răspundere privind ajutoarele de stat/ de minimis primite </w:t>
      </w:r>
      <w:bookmarkEnd w:id="26"/>
      <w:r w:rsidRPr="00B542FF">
        <w:rPr>
          <w:rFonts w:ascii="Trebuchet MS" w:hAnsi="Trebuchet MS"/>
          <w:sz w:val="22"/>
          <w:szCs w:val="22"/>
        </w:rPr>
        <w:t xml:space="preserve">- Anexa2. Model G. </w:t>
      </w:r>
    </w:p>
    <w:p w14:paraId="2F1FFF52" w14:textId="79F8EB20" w:rsidR="00FB2CA0" w:rsidRDefault="00FB2CA0" w:rsidP="00012D1B">
      <w:pPr>
        <w:spacing w:line="276" w:lineRule="auto"/>
        <w:ind w:left="1440"/>
        <w:jc w:val="both"/>
        <w:rPr>
          <w:rFonts w:ascii="Trebuchet MS" w:hAnsi="Trebuchet MS"/>
          <w:sz w:val="22"/>
          <w:szCs w:val="22"/>
        </w:rPr>
      </w:pPr>
      <w:r>
        <w:rPr>
          <w:rFonts w:ascii="Trebuchet MS" w:hAnsi="Trebuchet MS"/>
          <w:sz w:val="22"/>
          <w:szCs w:val="22"/>
        </w:rPr>
        <w:t>8. Împuternicire -</w:t>
      </w:r>
      <w:r w:rsidRPr="00FB2CA0">
        <w:rPr>
          <w:rFonts w:ascii="Trebuchet MS" w:hAnsi="Trebuchet MS"/>
          <w:sz w:val="22"/>
          <w:szCs w:val="22"/>
        </w:rPr>
        <w:t xml:space="preserve"> Anexa2. Model </w:t>
      </w:r>
      <w:r>
        <w:rPr>
          <w:rFonts w:ascii="Trebuchet MS" w:hAnsi="Trebuchet MS"/>
          <w:sz w:val="22"/>
          <w:szCs w:val="22"/>
        </w:rPr>
        <w:t>H.</w:t>
      </w:r>
    </w:p>
    <w:p w14:paraId="5F6A981E" w14:textId="7B0149CA" w:rsidR="00E17B27" w:rsidRPr="00B542FF" w:rsidRDefault="00E17B27" w:rsidP="00012D1B">
      <w:pPr>
        <w:spacing w:line="276" w:lineRule="auto"/>
        <w:ind w:left="1440"/>
        <w:jc w:val="both"/>
        <w:rPr>
          <w:rFonts w:ascii="Trebuchet MS" w:hAnsi="Trebuchet MS"/>
          <w:sz w:val="22"/>
          <w:szCs w:val="22"/>
        </w:rPr>
      </w:pPr>
      <w:r>
        <w:rPr>
          <w:rFonts w:ascii="Trebuchet MS" w:hAnsi="Trebuchet MS"/>
          <w:sz w:val="22"/>
          <w:szCs w:val="22"/>
        </w:rPr>
        <w:t xml:space="preserve">9. Acord de parteneriat – dacă este cazul - </w:t>
      </w:r>
      <w:r w:rsidRPr="00FB2CA0">
        <w:rPr>
          <w:rFonts w:ascii="Trebuchet MS" w:hAnsi="Trebuchet MS"/>
          <w:sz w:val="22"/>
          <w:szCs w:val="22"/>
        </w:rPr>
        <w:t xml:space="preserve">Anexa2. Model </w:t>
      </w:r>
      <w:r>
        <w:rPr>
          <w:rFonts w:ascii="Trebuchet MS" w:hAnsi="Trebuchet MS"/>
          <w:sz w:val="22"/>
          <w:szCs w:val="22"/>
        </w:rPr>
        <w:t>I</w:t>
      </w:r>
    </w:p>
    <w:bookmarkEnd w:id="25"/>
    <w:p w14:paraId="3A6C46D1" w14:textId="77777777" w:rsidR="00012D1B" w:rsidRPr="00B542FF" w:rsidRDefault="00012D1B">
      <w:pPr>
        <w:spacing w:before="120" w:after="120" w:line="276" w:lineRule="auto"/>
        <w:ind w:left="990"/>
        <w:jc w:val="both"/>
        <w:rPr>
          <w:rFonts w:ascii="Trebuchet MS" w:hAnsi="Trebuchet MS"/>
          <w:sz w:val="22"/>
          <w:szCs w:val="22"/>
        </w:rPr>
      </w:pPr>
    </w:p>
    <w:p w14:paraId="217523E1" w14:textId="2F35B4F7" w:rsidR="000654CE" w:rsidRPr="00B542FF" w:rsidRDefault="00000000" w:rsidP="00012D1B">
      <w:pPr>
        <w:spacing w:before="120" w:line="276" w:lineRule="auto"/>
        <w:ind w:left="990"/>
        <w:jc w:val="both"/>
        <w:rPr>
          <w:rFonts w:ascii="Trebuchet MS" w:hAnsi="Trebuchet MS"/>
          <w:sz w:val="22"/>
          <w:szCs w:val="22"/>
        </w:rPr>
      </w:pPr>
      <w:r w:rsidRPr="00B542FF">
        <w:rPr>
          <w:rFonts w:ascii="Trebuchet MS" w:hAnsi="Trebuchet MS"/>
          <w:sz w:val="22"/>
          <w:szCs w:val="22"/>
        </w:rPr>
        <w:t>Pe lângă documentele menționate mai sus, beneficiarii vor depune anexat cererii de finanțare și următoarele docu</w:t>
      </w:r>
      <w:r w:rsidR="00357226" w:rsidRPr="00B542FF">
        <w:rPr>
          <w:rFonts w:ascii="Trebuchet MS" w:hAnsi="Trebuchet MS"/>
          <w:sz w:val="22"/>
          <w:szCs w:val="22"/>
        </w:rPr>
        <w:t>m</w:t>
      </w:r>
      <w:r w:rsidRPr="00B542FF">
        <w:rPr>
          <w:rFonts w:ascii="Trebuchet MS" w:hAnsi="Trebuchet MS"/>
          <w:sz w:val="22"/>
          <w:szCs w:val="22"/>
        </w:rPr>
        <w:t xml:space="preserve">ente: </w:t>
      </w:r>
    </w:p>
    <w:p w14:paraId="25EE4522" w14:textId="2EA94B77" w:rsidR="000654CE" w:rsidRPr="00B542FF" w:rsidRDefault="00000000" w:rsidP="00012D1B">
      <w:pPr>
        <w:pStyle w:val="ListParagraph"/>
        <w:numPr>
          <w:ilvl w:val="0"/>
          <w:numId w:val="21"/>
        </w:numPr>
        <w:spacing w:after="120" w:line="276" w:lineRule="auto"/>
        <w:jc w:val="both"/>
        <w:rPr>
          <w:rFonts w:ascii="Trebuchet MS" w:hAnsi="Trebuchet MS"/>
          <w:sz w:val="22"/>
          <w:szCs w:val="22"/>
        </w:rPr>
      </w:pPr>
      <w:r w:rsidRPr="00B542FF">
        <w:rPr>
          <w:rFonts w:ascii="Trebuchet MS" w:hAnsi="Trebuchet MS"/>
          <w:sz w:val="22"/>
          <w:szCs w:val="22"/>
        </w:rPr>
        <w:t>Copie a cărții de identitate a reprezentantului legal / împuternicitului;</w:t>
      </w:r>
      <w:r w:rsidRPr="00B542FF">
        <w:rPr>
          <w:rFonts w:ascii="Trebuchet MS" w:hAnsi="Trebuchet MS"/>
          <w:sz w:val="22"/>
          <w:szCs w:val="22"/>
        </w:rPr>
        <w:tab/>
      </w:r>
    </w:p>
    <w:p w14:paraId="73271BFF" w14:textId="77777777" w:rsidR="0018278B" w:rsidRPr="00B542FF" w:rsidRDefault="00000000" w:rsidP="006F4B55">
      <w:pPr>
        <w:pStyle w:val="ListParagraph"/>
        <w:numPr>
          <w:ilvl w:val="0"/>
          <w:numId w:val="21"/>
        </w:numPr>
        <w:spacing w:before="360" w:after="120" w:line="276" w:lineRule="auto"/>
        <w:jc w:val="both"/>
        <w:rPr>
          <w:rFonts w:ascii="Trebuchet MS" w:hAnsi="Trebuchet MS"/>
          <w:sz w:val="22"/>
          <w:szCs w:val="22"/>
        </w:rPr>
      </w:pPr>
      <w:r w:rsidRPr="00B542FF">
        <w:rPr>
          <w:rFonts w:ascii="Trebuchet MS" w:hAnsi="Trebuchet MS"/>
          <w:sz w:val="22"/>
          <w:szCs w:val="22"/>
        </w:rPr>
        <w:t xml:space="preserve">Documentele de înregistrare ale întreprinderii: </w:t>
      </w:r>
    </w:p>
    <w:p w14:paraId="5000CA7D" w14:textId="77777777" w:rsidR="0018278B" w:rsidRPr="00B542FF" w:rsidRDefault="00000000" w:rsidP="006F4B55">
      <w:pPr>
        <w:pStyle w:val="ListParagraph"/>
        <w:numPr>
          <w:ilvl w:val="1"/>
          <w:numId w:val="21"/>
        </w:numPr>
        <w:spacing w:before="240" w:after="120" w:line="276" w:lineRule="auto"/>
        <w:jc w:val="both"/>
        <w:rPr>
          <w:rFonts w:ascii="Trebuchet MS" w:hAnsi="Trebuchet MS"/>
          <w:sz w:val="22"/>
          <w:szCs w:val="22"/>
        </w:rPr>
      </w:pPr>
      <w:r w:rsidRPr="00B542FF">
        <w:rPr>
          <w:rFonts w:ascii="Trebuchet MS" w:hAnsi="Trebuchet MS"/>
          <w:sz w:val="22"/>
          <w:szCs w:val="22"/>
        </w:rPr>
        <w:t xml:space="preserve">certificat de înregistrare fiscală, </w:t>
      </w:r>
    </w:p>
    <w:p w14:paraId="5B825E7F" w14:textId="77777777" w:rsidR="0018278B" w:rsidRPr="00B542FF" w:rsidRDefault="00000000" w:rsidP="006F4B55">
      <w:pPr>
        <w:pStyle w:val="ListParagraph"/>
        <w:numPr>
          <w:ilvl w:val="1"/>
          <w:numId w:val="21"/>
        </w:numPr>
        <w:spacing w:before="240" w:after="120" w:line="276" w:lineRule="auto"/>
        <w:jc w:val="both"/>
        <w:rPr>
          <w:rFonts w:ascii="Trebuchet MS" w:hAnsi="Trebuchet MS"/>
          <w:sz w:val="22"/>
          <w:szCs w:val="22"/>
        </w:rPr>
      </w:pPr>
      <w:r w:rsidRPr="00B542FF">
        <w:rPr>
          <w:rFonts w:ascii="Trebuchet MS" w:hAnsi="Trebuchet MS"/>
          <w:sz w:val="22"/>
          <w:szCs w:val="22"/>
        </w:rPr>
        <w:t>certificat</w:t>
      </w:r>
      <w:r w:rsidR="0018278B" w:rsidRPr="00B542FF">
        <w:rPr>
          <w:rFonts w:ascii="Trebuchet MS" w:hAnsi="Trebuchet MS"/>
          <w:sz w:val="22"/>
          <w:szCs w:val="22"/>
        </w:rPr>
        <w:t>ul</w:t>
      </w:r>
      <w:r w:rsidRPr="00B542FF">
        <w:rPr>
          <w:rFonts w:ascii="Trebuchet MS" w:hAnsi="Trebuchet MS"/>
          <w:sz w:val="22"/>
          <w:szCs w:val="22"/>
        </w:rPr>
        <w:t xml:space="preserve"> constatator</w:t>
      </w:r>
      <w:r w:rsidR="0018278B" w:rsidRPr="00B542FF">
        <w:rPr>
          <w:rFonts w:ascii="Trebuchet MS" w:hAnsi="Trebuchet MS"/>
          <w:sz w:val="22"/>
          <w:szCs w:val="22"/>
        </w:rPr>
        <w:t xml:space="preserve"> eliberat de Oficiul Național al Registrului Comerțului</w:t>
      </w:r>
      <w:r w:rsidRPr="00B542FF">
        <w:rPr>
          <w:rFonts w:ascii="Trebuchet MS" w:hAnsi="Trebuchet MS"/>
          <w:sz w:val="22"/>
          <w:szCs w:val="22"/>
        </w:rPr>
        <w:t>,</w:t>
      </w:r>
    </w:p>
    <w:p w14:paraId="4CC51B86" w14:textId="261613C0" w:rsidR="003A225E" w:rsidRPr="00B542FF" w:rsidRDefault="006F075D" w:rsidP="006F4B55">
      <w:pPr>
        <w:pStyle w:val="ListParagraph"/>
        <w:numPr>
          <w:ilvl w:val="0"/>
          <w:numId w:val="21"/>
        </w:numPr>
        <w:spacing w:before="240" w:after="120" w:line="276" w:lineRule="auto"/>
        <w:jc w:val="both"/>
        <w:rPr>
          <w:rFonts w:ascii="Trebuchet MS" w:hAnsi="Trebuchet MS"/>
          <w:sz w:val="22"/>
          <w:szCs w:val="22"/>
        </w:rPr>
      </w:pPr>
      <w:r w:rsidRPr="00B542FF">
        <w:rPr>
          <w:rFonts w:ascii="Trebuchet MS" w:hAnsi="Trebuchet MS"/>
          <w:sz w:val="22"/>
          <w:szCs w:val="22"/>
        </w:rPr>
        <w:t>În cazul în care proiectul se realizează în parteneriat, d</w:t>
      </w:r>
      <w:r w:rsidR="003A225E" w:rsidRPr="00B542FF">
        <w:rPr>
          <w:rFonts w:ascii="Trebuchet MS" w:hAnsi="Trebuchet MS"/>
          <w:sz w:val="22"/>
          <w:szCs w:val="22"/>
        </w:rPr>
        <w:t xml:space="preserve">eclarația pe proprie răspundere </w:t>
      </w:r>
      <w:r w:rsidR="00FD3278" w:rsidRPr="00B542FF">
        <w:rPr>
          <w:rFonts w:ascii="Trebuchet MS" w:hAnsi="Trebuchet MS"/>
          <w:sz w:val="22"/>
          <w:szCs w:val="22"/>
        </w:rPr>
        <w:t>a</w:t>
      </w:r>
      <w:r w:rsidR="003A225E" w:rsidRPr="00B542FF">
        <w:rPr>
          <w:rFonts w:ascii="Trebuchet MS" w:hAnsi="Trebuchet MS"/>
          <w:sz w:val="22"/>
          <w:szCs w:val="22"/>
        </w:rPr>
        <w:t xml:space="preserve"> participantului direct </w:t>
      </w:r>
      <w:r w:rsidR="00142D88" w:rsidRPr="00B542FF">
        <w:rPr>
          <w:rFonts w:ascii="Trebuchet MS" w:hAnsi="Trebuchet MS"/>
          <w:sz w:val="22"/>
          <w:szCs w:val="22"/>
        </w:rPr>
        <w:t>-</w:t>
      </w:r>
      <w:r w:rsidR="003A225E" w:rsidRPr="00B542FF">
        <w:rPr>
          <w:rFonts w:ascii="Trebuchet MS" w:hAnsi="Trebuchet MS"/>
          <w:sz w:val="22"/>
          <w:szCs w:val="22"/>
        </w:rPr>
        <w:t xml:space="preserve"> lider de parteneriat</w:t>
      </w:r>
      <w:r w:rsidR="006F4B55" w:rsidRPr="00B542FF">
        <w:rPr>
          <w:rFonts w:ascii="Trebuchet MS" w:hAnsi="Trebuchet MS"/>
          <w:sz w:val="22"/>
          <w:szCs w:val="22"/>
        </w:rPr>
        <w:t xml:space="preserve"> care dovedește influențele dominante / decisive între întreprinderi</w:t>
      </w:r>
      <w:r w:rsidR="006F4B55" w:rsidRPr="00B542FF">
        <w:t xml:space="preserve"> (</w:t>
      </w:r>
      <w:r w:rsidR="006F4B55" w:rsidRPr="00B542FF">
        <w:rPr>
          <w:rFonts w:ascii="Trebuchet MS" w:hAnsi="Trebuchet MS"/>
          <w:sz w:val="22"/>
          <w:szCs w:val="22"/>
        </w:rPr>
        <w:t>prin existența unei participații de control și a altor legături funcționale, economice sau organice între respectivele entități)</w:t>
      </w:r>
      <w:r w:rsidR="003A225E" w:rsidRPr="00B542FF">
        <w:rPr>
          <w:rFonts w:ascii="Trebuchet MS" w:hAnsi="Trebuchet MS"/>
          <w:sz w:val="22"/>
          <w:szCs w:val="22"/>
        </w:rPr>
        <w:t xml:space="preserve">, însoțită certificatul constatator </w:t>
      </w:r>
      <w:r w:rsidR="00FD3278" w:rsidRPr="00B542FF">
        <w:rPr>
          <w:rFonts w:ascii="Trebuchet MS" w:hAnsi="Trebuchet MS"/>
          <w:sz w:val="22"/>
          <w:szCs w:val="22"/>
        </w:rPr>
        <w:t xml:space="preserve">al partenerului </w:t>
      </w:r>
      <w:r w:rsidR="003A225E" w:rsidRPr="00B542FF">
        <w:rPr>
          <w:rFonts w:ascii="Trebuchet MS" w:hAnsi="Trebuchet MS"/>
          <w:sz w:val="22"/>
          <w:szCs w:val="22"/>
        </w:rPr>
        <w:t xml:space="preserve">eliberat de Oficiul Național al Registrului Comerțului sau de o </w:t>
      </w:r>
      <w:r w:rsidR="00FD3278" w:rsidRPr="00B542FF">
        <w:rPr>
          <w:rFonts w:ascii="Trebuchet MS" w:hAnsi="Trebuchet MS"/>
          <w:sz w:val="22"/>
          <w:szCs w:val="22"/>
        </w:rPr>
        <w:t>autoritate abilitată din cadrul Uniunii Europene</w:t>
      </w:r>
      <w:r w:rsidR="003A225E" w:rsidRPr="00B542FF">
        <w:rPr>
          <w:rFonts w:ascii="Trebuchet MS" w:hAnsi="Trebuchet MS"/>
          <w:sz w:val="22"/>
          <w:szCs w:val="22"/>
        </w:rPr>
        <w:t>.</w:t>
      </w:r>
    </w:p>
    <w:p w14:paraId="4345C61B" w14:textId="7B33B5A5" w:rsidR="000654CE" w:rsidRPr="00B542FF" w:rsidRDefault="0018278B" w:rsidP="006F4B55">
      <w:pPr>
        <w:pStyle w:val="ListParagraph"/>
        <w:numPr>
          <w:ilvl w:val="0"/>
          <w:numId w:val="21"/>
        </w:numPr>
        <w:spacing w:before="240" w:after="120" w:line="276" w:lineRule="auto"/>
        <w:jc w:val="both"/>
        <w:rPr>
          <w:rFonts w:ascii="Trebuchet MS" w:hAnsi="Trebuchet MS"/>
          <w:sz w:val="22"/>
          <w:szCs w:val="22"/>
        </w:rPr>
      </w:pPr>
      <w:r w:rsidRPr="00B542FF">
        <w:rPr>
          <w:rFonts w:ascii="Trebuchet MS" w:hAnsi="Trebuchet MS"/>
          <w:sz w:val="22"/>
          <w:szCs w:val="22"/>
        </w:rPr>
        <w:t>Documente care atestă dreptul de proprietate/de administrare</w:t>
      </w:r>
      <w:r w:rsidR="00D139AF">
        <w:rPr>
          <w:rFonts w:ascii="Trebuchet MS" w:hAnsi="Trebuchet MS"/>
          <w:sz w:val="22"/>
          <w:szCs w:val="22"/>
        </w:rPr>
        <w:t>/ de superficie</w:t>
      </w:r>
      <w:r w:rsidRPr="00B542FF">
        <w:rPr>
          <w:rFonts w:ascii="Trebuchet MS" w:hAnsi="Trebuchet MS"/>
          <w:sz w:val="22"/>
          <w:szCs w:val="22"/>
        </w:rPr>
        <w:t>, concesiunea</w:t>
      </w:r>
      <w:r w:rsidR="00D139AF">
        <w:rPr>
          <w:rFonts w:ascii="Trebuchet MS" w:hAnsi="Trebuchet MS"/>
          <w:sz w:val="22"/>
          <w:szCs w:val="22"/>
        </w:rPr>
        <w:t xml:space="preserve"> </w:t>
      </w:r>
      <w:r w:rsidRPr="00B542FF">
        <w:rPr>
          <w:rFonts w:ascii="Trebuchet MS" w:hAnsi="Trebuchet MS"/>
          <w:sz w:val="22"/>
          <w:szCs w:val="22"/>
        </w:rPr>
        <w:t xml:space="preserve">sau închirierea terenului și, după caz, proprietatea, concesiunea, administrarea sau închirierea clădirii unde se implementează investiția, pe durata implementării și a sustenabilității proiectului; </w:t>
      </w:r>
    </w:p>
    <w:p w14:paraId="2DE5627C" w14:textId="77777777" w:rsidR="000654CE" w:rsidRDefault="00000000">
      <w:pPr>
        <w:spacing w:before="120" w:after="120" w:line="276" w:lineRule="auto"/>
        <w:ind w:left="990"/>
        <w:jc w:val="both"/>
        <w:rPr>
          <w:rFonts w:ascii="Trebuchet MS" w:hAnsi="Trebuchet MS"/>
          <w:sz w:val="22"/>
          <w:szCs w:val="22"/>
        </w:rPr>
      </w:pPr>
      <w:bookmarkStart w:id="27" w:name="_Hlk149051331"/>
      <w:bookmarkEnd w:id="27"/>
      <w:r>
        <w:rPr>
          <w:rFonts w:ascii="Trebuchet MS" w:hAnsi="Trebuchet MS"/>
          <w:sz w:val="22"/>
          <w:szCs w:val="22"/>
        </w:rPr>
        <w:t>Cererea de finanțare și documentele menționate mai sus constituie anexe ale contractului de finanțare.</w:t>
      </w:r>
    </w:p>
    <w:p w14:paraId="53FFEF42" w14:textId="795B1A61"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În completarea cererii de finanțare, beneficiarii vor avea în vedere transpunerea corespunzătoare a datelor și informațiilor din documentația depusă în </w:t>
      </w:r>
      <w:r w:rsidR="006E521F">
        <w:rPr>
          <w:rFonts w:ascii="Trebuchet MS" w:hAnsi="Trebuchet MS"/>
          <w:sz w:val="22"/>
          <w:szCs w:val="22"/>
        </w:rPr>
        <w:t xml:space="preserve">vederea </w:t>
      </w:r>
      <w:r>
        <w:rPr>
          <w:rFonts w:ascii="Trebuchet MS" w:hAnsi="Trebuchet MS"/>
          <w:sz w:val="22"/>
          <w:szCs w:val="22"/>
        </w:rPr>
        <w:t xml:space="preserve">notificării Comisiei Europene, în baza cărora au fost evaluați și, ulterior selectați pentru a face parte din PIIEC, precum și eligibilitatea cheltuielilor și condițiile privind principiul </w:t>
      </w:r>
      <w:r>
        <w:rPr>
          <w:rFonts w:ascii="Trebuchet MS" w:hAnsi="Trebuchet MS"/>
          <w:i/>
          <w:iCs/>
          <w:sz w:val="22"/>
          <w:szCs w:val="22"/>
        </w:rPr>
        <w:t>„a nu prejudicia în mod semnificativ”</w:t>
      </w:r>
      <w:r>
        <w:rPr>
          <w:rFonts w:ascii="Trebuchet MS" w:hAnsi="Trebuchet MS"/>
          <w:sz w:val="22"/>
          <w:szCs w:val="22"/>
        </w:rPr>
        <w:t xml:space="preserve"> mediul și privind evitarea confilctului de interese, menționate mai jos.</w:t>
      </w:r>
    </w:p>
    <w:p w14:paraId="2F30951F" w14:textId="06636FC1" w:rsidR="00455330" w:rsidRDefault="00455330" w:rsidP="00455330">
      <w:pPr>
        <w:spacing w:before="120" w:after="120" w:line="276" w:lineRule="auto"/>
        <w:ind w:left="990"/>
        <w:jc w:val="both"/>
        <w:rPr>
          <w:rFonts w:ascii="Trebuchet MS" w:hAnsi="Trebuchet MS"/>
          <w:sz w:val="22"/>
          <w:szCs w:val="22"/>
        </w:rPr>
      </w:pPr>
      <w:r>
        <w:rPr>
          <w:rFonts w:ascii="Trebuchet MS" w:hAnsi="Trebuchet MS"/>
          <w:sz w:val="22"/>
          <w:szCs w:val="22"/>
        </w:rPr>
        <w:t xml:space="preserve">Participanții direcți </w:t>
      </w:r>
      <w:r w:rsidR="003144EF">
        <w:rPr>
          <w:rFonts w:ascii="Trebuchet MS" w:hAnsi="Trebuchet MS"/>
          <w:sz w:val="22"/>
          <w:szCs w:val="22"/>
        </w:rPr>
        <w:t xml:space="preserve">vor deschide sau vor prezenta un cont distinct, destinat pentru gestionarea fondurilor referitoare la proiect </w:t>
      </w:r>
      <w:r>
        <w:rPr>
          <w:rFonts w:ascii="Trebuchet MS" w:hAnsi="Trebuchet MS"/>
          <w:sz w:val="22"/>
          <w:szCs w:val="22"/>
        </w:rPr>
        <w:t>la</w:t>
      </w:r>
      <w:r w:rsidR="003144EF">
        <w:rPr>
          <w:rFonts w:ascii="Trebuchet MS" w:hAnsi="Trebuchet MS"/>
          <w:sz w:val="22"/>
          <w:szCs w:val="22"/>
        </w:rPr>
        <w:t xml:space="preserve"> o unitate </w:t>
      </w:r>
      <w:r>
        <w:rPr>
          <w:rFonts w:ascii="Trebuchet MS" w:hAnsi="Trebuchet MS"/>
          <w:sz w:val="22"/>
          <w:szCs w:val="22"/>
        </w:rPr>
        <w:t>banca</w:t>
      </w:r>
      <w:r w:rsidR="003144EF">
        <w:rPr>
          <w:rFonts w:ascii="Trebuchet MS" w:hAnsi="Trebuchet MS"/>
          <w:sz w:val="22"/>
          <w:szCs w:val="22"/>
        </w:rPr>
        <w:t>ră</w:t>
      </w:r>
      <w:r>
        <w:rPr>
          <w:rFonts w:ascii="Trebuchet MS" w:hAnsi="Trebuchet MS"/>
          <w:sz w:val="22"/>
          <w:szCs w:val="22"/>
        </w:rPr>
        <w:t>/</w:t>
      </w:r>
      <w:r w:rsidR="003144EF">
        <w:rPr>
          <w:rFonts w:ascii="Trebuchet MS" w:hAnsi="Trebuchet MS"/>
          <w:sz w:val="22"/>
          <w:szCs w:val="22"/>
        </w:rPr>
        <w:t xml:space="preserve">sau la </w:t>
      </w:r>
      <w:r>
        <w:rPr>
          <w:rFonts w:ascii="Trebuchet MS" w:hAnsi="Trebuchet MS"/>
          <w:sz w:val="22"/>
          <w:szCs w:val="22"/>
        </w:rPr>
        <w:t>Trezoreri</w:t>
      </w:r>
      <w:r w:rsidR="003144EF">
        <w:rPr>
          <w:rFonts w:ascii="Trebuchet MS" w:hAnsi="Trebuchet MS"/>
          <w:sz w:val="22"/>
          <w:szCs w:val="22"/>
        </w:rPr>
        <w:t>e.</w:t>
      </w:r>
    </w:p>
    <w:p w14:paraId="3ECC9B2F" w14:textId="77777777" w:rsidR="00455330" w:rsidRDefault="00455330">
      <w:pPr>
        <w:spacing w:before="120" w:after="120" w:line="276" w:lineRule="auto"/>
        <w:ind w:left="990"/>
        <w:jc w:val="both"/>
        <w:rPr>
          <w:rFonts w:ascii="Trebuchet MS" w:hAnsi="Trebuchet MS"/>
          <w:sz w:val="22"/>
          <w:szCs w:val="22"/>
        </w:rPr>
      </w:pPr>
    </w:p>
    <w:p w14:paraId="1C8AAA5E" w14:textId="370FEDCE" w:rsidR="000654CE" w:rsidRDefault="00000000">
      <w:pPr>
        <w:pStyle w:val="Heading2"/>
        <w:shd w:val="clear" w:color="auto" w:fill="BDD6EE" w:themeFill="accent1" w:themeFillTint="66"/>
        <w:spacing w:before="120" w:after="120" w:line="276" w:lineRule="auto"/>
        <w:ind w:left="720"/>
        <w:rPr>
          <w:rFonts w:ascii="Trebuchet MS" w:hAnsi="Trebuchet MS"/>
          <w:b/>
          <w:color w:val="auto"/>
          <w:sz w:val="22"/>
          <w:szCs w:val="22"/>
        </w:rPr>
      </w:pPr>
      <w:bookmarkStart w:id="28" w:name="_Toc144988184"/>
      <w:bookmarkStart w:id="29" w:name="_Toc149224627"/>
      <w:r>
        <w:rPr>
          <w:rFonts w:ascii="Trebuchet MS" w:hAnsi="Trebuchet MS"/>
          <w:b/>
          <w:color w:val="auto"/>
          <w:sz w:val="22"/>
          <w:szCs w:val="22"/>
        </w:rPr>
        <w:t>3.1.3 Eligibilitatea cheltuielilor</w:t>
      </w:r>
      <w:bookmarkEnd w:id="28"/>
      <w:bookmarkEnd w:id="29"/>
    </w:p>
    <w:p w14:paraId="0EB6A780" w14:textId="0E1E4000" w:rsidR="000654CE" w:rsidRDefault="00000000">
      <w:pPr>
        <w:spacing w:before="120" w:after="120" w:line="276" w:lineRule="auto"/>
        <w:ind w:left="990"/>
        <w:jc w:val="both"/>
        <w:rPr>
          <w:rFonts w:ascii="Trebuchet MS" w:hAnsi="Trebuchet MS"/>
          <w:i/>
          <w:iCs/>
          <w:sz w:val="22"/>
          <w:szCs w:val="22"/>
        </w:rPr>
      </w:pPr>
      <w:r>
        <w:rPr>
          <w:rFonts w:ascii="Trebuchet MS" w:hAnsi="Trebuchet MS"/>
          <w:sz w:val="22"/>
          <w:szCs w:val="22"/>
        </w:rPr>
        <w:t xml:space="preserve">Participantul direct se va </w:t>
      </w:r>
      <w:r w:rsidR="00F968C4">
        <w:rPr>
          <w:rFonts w:ascii="Trebuchet MS" w:hAnsi="Trebuchet MS"/>
          <w:sz w:val="22"/>
          <w:szCs w:val="22"/>
        </w:rPr>
        <w:t>a</w:t>
      </w:r>
      <w:r>
        <w:rPr>
          <w:rFonts w:ascii="Trebuchet MS" w:hAnsi="Trebuchet MS"/>
          <w:sz w:val="22"/>
          <w:szCs w:val="22"/>
        </w:rPr>
        <w:t xml:space="preserve">sigura de respectarea categoriilor de cheltuieli eligibile așa cum au fost exprimate în Anexa la Comunicarea Comisiei 2021/C 528/02 - </w:t>
      </w:r>
      <w:r>
        <w:rPr>
          <w:rFonts w:ascii="Trebuchet MS" w:hAnsi="Trebuchet MS"/>
          <w:i/>
          <w:iCs/>
          <w:sz w:val="22"/>
          <w:szCs w:val="22"/>
        </w:rPr>
        <w:t>„Criterii pentru analiza compatibilității cu piața internă a ajutorului de stat destinat să promoveze realizarea unor proiecte importante de interes european comun”.</w:t>
      </w:r>
    </w:p>
    <w:p w14:paraId="10449AB1" w14:textId="7E090D13" w:rsidR="000654CE" w:rsidRDefault="00000000">
      <w:pPr>
        <w:spacing w:line="276" w:lineRule="auto"/>
        <w:ind w:left="990"/>
        <w:jc w:val="both"/>
        <w:rPr>
          <w:rFonts w:ascii="Trebuchet MS" w:hAnsi="Trebuchet MS"/>
          <w:sz w:val="22"/>
          <w:szCs w:val="22"/>
        </w:rPr>
      </w:pPr>
      <w:r>
        <w:rPr>
          <w:rFonts w:ascii="Trebuchet MS" w:hAnsi="Trebuchet MS"/>
          <w:sz w:val="22"/>
          <w:szCs w:val="22"/>
        </w:rPr>
        <w:t>Totodată, PD</w:t>
      </w:r>
      <w:r>
        <w:rPr>
          <w:rFonts w:ascii="Trebuchet MS" w:hAnsi="Trebuchet MS"/>
          <w:i/>
          <w:iCs/>
          <w:sz w:val="22"/>
          <w:szCs w:val="22"/>
        </w:rPr>
        <w:t xml:space="preserve"> </w:t>
      </w:r>
      <w:r>
        <w:rPr>
          <w:rFonts w:ascii="Trebuchet MS" w:hAnsi="Trebuchet MS"/>
          <w:sz w:val="22"/>
          <w:szCs w:val="22"/>
        </w:rPr>
        <w:t>se va asigura de respectarea condițiilor de eligibilitate cumulative pentru cheltuielile proiectului, respectiv:</w:t>
      </w:r>
    </w:p>
    <w:p w14:paraId="32EF2CD4" w14:textId="77777777" w:rsidR="000654CE" w:rsidRDefault="00000000">
      <w:pPr>
        <w:pStyle w:val="ListParagraph"/>
        <w:numPr>
          <w:ilvl w:val="0"/>
          <w:numId w:val="5"/>
        </w:numPr>
        <w:spacing w:line="276" w:lineRule="auto"/>
        <w:jc w:val="both"/>
        <w:rPr>
          <w:rFonts w:ascii="Trebuchet MS" w:hAnsi="Trebuchet MS"/>
          <w:sz w:val="22"/>
          <w:szCs w:val="22"/>
        </w:rPr>
      </w:pPr>
      <w:r>
        <w:rPr>
          <w:rFonts w:ascii="Trebuchet MS" w:hAnsi="Trebuchet MS"/>
          <w:sz w:val="22"/>
          <w:szCs w:val="22"/>
        </w:rPr>
        <w:t>sunt în conformitate cu prevederile Planului Național de Redresare și Reziliență, Componenta C9. Suport pentru sectorul privat, cercetare, dezvoltare și inovare, Investiția 4. Proiecte transfrontaliere și multinaționale – Procesoare cu consum redus de energie și cipuri semiconductoare;</w:t>
      </w:r>
    </w:p>
    <w:p w14:paraId="1C978128" w14:textId="2448D727" w:rsidR="000654CE" w:rsidRDefault="00000000">
      <w:pPr>
        <w:pStyle w:val="ListParagraph"/>
        <w:numPr>
          <w:ilvl w:val="0"/>
          <w:numId w:val="5"/>
        </w:numPr>
        <w:spacing w:line="276" w:lineRule="auto"/>
        <w:jc w:val="both"/>
        <w:rPr>
          <w:rFonts w:ascii="Trebuchet MS" w:hAnsi="Trebuchet MS"/>
          <w:sz w:val="22"/>
          <w:szCs w:val="22"/>
        </w:rPr>
      </w:pPr>
      <w:r>
        <w:rPr>
          <w:rFonts w:ascii="Trebuchet MS" w:hAnsi="Trebuchet MS"/>
          <w:sz w:val="22"/>
          <w:szCs w:val="22"/>
        </w:rPr>
        <w:t>au fost cuprinse în proiectul aprobat prin Decizia Comisiei Europene C(2023) 3817 din 08.06.2023 cu privire la aprobarea ajutoarelor de stat individuale pentru proiectul important de interes european comun în domeniul microelectronicii și al tehnologiilor comunicațiilor;</w:t>
      </w:r>
    </w:p>
    <w:p w14:paraId="463DF153" w14:textId="77777777" w:rsidR="000654CE" w:rsidRDefault="00000000">
      <w:pPr>
        <w:pStyle w:val="ListParagraph"/>
        <w:numPr>
          <w:ilvl w:val="0"/>
          <w:numId w:val="5"/>
        </w:numPr>
        <w:spacing w:line="276" w:lineRule="auto"/>
        <w:jc w:val="both"/>
        <w:rPr>
          <w:rFonts w:ascii="Trebuchet MS" w:hAnsi="Trebuchet MS"/>
          <w:sz w:val="22"/>
          <w:szCs w:val="22"/>
        </w:rPr>
      </w:pPr>
      <w:r>
        <w:rPr>
          <w:rFonts w:ascii="Trebuchet MS" w:hAnsi="Trebuchet MS"/>
          <w:sz w:val="22"/>
          <w:szCs w:val="22"/>
        </w:rPr>
        <w:t>sunt proporționale/rezonabile și necesare pentru implementarea proiectului;</w:t>
      </w:r>
    </w:p>
    <w:p w14:paraId="515FE47A" w14:textId="77777777" w:rsidR="000654CE" w:rsidRDefault="00000000">
      <w:pPr>
        <w:pStyle w:val="ListParagraph"/>
        <w:numPr>
          <w:ilvl w:val="0"/>
          <w:numId w:val="5"/>
        </w:numPr>
        <w:spacing w:line="276" w:lineRule="auto"/>
        <w:jc w:val="both"/>
        <w:rPr>
          <w:rFonts w:ascii="Trebuchet MS" w:hAnsi="Trebuchet MS"/>
          <w:sz w:val="22"/>
          <w:szCs w:val="22"/>
        </w:rPr>
      </w:pPr>
      <w:r>
        <w:rPr>
          <w:rFonts w:ascii="Trebuchet MS" w:hAnsi="Trebuchet MS"/>
          <w:sz w:val="22"/>
          <w:szCs w:val="22"/>
        </w:rPr>
        <w:t>sunt identificabile și verificabile;</w:t>
      </w:r>
    </w:p>
    <w:p w14:paraId="66CD08AA" w14:textId="2D3E0C6E" w:rsidR="000654CE" w:rsidRDefault="00000000">
      <w:pPr>
        <w:pStyle w:val="ListParagraph"/>
        <w:numPr>
          <w:ilvl w:val="0"/>
          <w:numId w:val="5"/>
        </w:numPr>
        <w:spacing w:line="276" w:lineRule="auto"/>
        <w:jc w:val="both"/>
        <w:rPr>
          <w:rFonts w:ascii="Trebuchet MS" w:hAnsi="Trebuchet MS"/>
          <w:sz w:val="22"/>
          <w:szCs w:val="22"/>
        </w:rPr>
      </w:pPr>
      <w:bookmarkStart w:id="30" w:name="_Hlk144797881"/>
      <w:r>
        <w:rPr>
          <w:rFonts w:ascii="Trebuchet MS" w:hAnsi="Trebuchet MS"/>
          <w:sz w:val="22"/>
          <w:szCs w:val="22"/>
        </w:rPr>
        <w:t>respectă plafoanele aferente cheltui</w:t>
      </w:r>
      <w:r w:rsidR="00ED6A7A">
        <w:rPr>
          <w:rFonts w:ascii="Trebuchet MS" w:hAnsi="Trebuchet MS"/>
          <w:sz w:val="22"/>
          <w:szCs w:val="22"/>
        </w:rPr>
        <w:t>e</w:t>
      </w:r>
      <w:r>
        <w:rPr>
          <w:rFonts w:ascii="Trebuchet MS" w:hAnsi="Trebuchet MS"/>
          <w:sz w:val="22"/>
          <w:szCs w:val="22"/>
        </w:rPr>
        <w:t>l</w:t>
      </w:r>
      <w:r w:rsidR="00ED6A7A">
        <w:rPr>
          <w:rFonts w:ascii="Trebuchet MS" w:hAnsi="Trebuchet MS"/>
          <w:sz w:val="22"/>
          <w:szCs w:val="22"/>
        </w:rPr>
        <w:t xml:space="preserve">ilor salariale directe, stabilite în concordanță cu plafoanele stabilite prin </w:t>
      </w:r>
      <w:r w:rsidR="00ED6A7A" w:rsidRPr="00ED6A7A">
        <w:rPr>
          <w:rFonts w:ascii="Trebuchet MS" w:hAnsi="Trebuchet MS"/>
          <w:sz w:val="22"/>
          <w:szCs w:val="22"/>
        </w:rPr>
        <w:t>HG 327/2013 privind plafoanele pe baza cărora se calculează costurile salariale directe la contractele de finanţare încheiate din fonduri bugetare, cu modific</w:t>
      </w:r>
      <w:r w:rsidR="00615EBD">
        <w:rPr>
          <w:rFonts w:ascii="Trebuchet MS" w:hAnsi="Trebuchet MS"/>
          <w:sz w:val="22"/>
          <w:szCs w:val="22"/>
        </w:rPr>
        <w:t>ă</w:t>
      </w:r>
      <w:r w:rsidR="00ED6A7A" w:rsidRPr="00ED6A7A">
        <w:rPr>
          <w:rFonts w:ascii="Trebuchet MS" w:hAnsi="Trebuchet MS"/>
          <w:sz w:val="22"/>
          <w:szCs w:val="22"/>
        </w:rPr>
        <w:t xml:space="preserve">rile </w:t>
      </w:r>
      <w:r w:rsidR="00615EBD">
        <w:rPr>
          <w:rFonts w:ascii="Trebuchet MS" w:hAnsi="Trebuchet MS"/>
          <w:sz w:val="22"/>
          <w:szCs w:val="22"/>
        </w:rPr>
        <w:t>și</w:t>
      </w:r>
      <w:r w:rsidR="00ED6A7A" w:rsidRPr="00ED6A7A">
        <w:rPr>
          <w:rFonts w:ascii="Trebuchet MS" w:hAnsi="Trebuchet MS"/>
          <w:sz w:val="22"/>
          <w:szCs w:val="22"/>
        </w:rPr>
        <w:t xml:space="preserve"> complet</w:t>
      </w:r>
      <w:r w:rsidR="00615EBD">
        <w:rPr>
          <w:rFonts w:ascii="Trebuchet MS" w:hAnsi="Trebuchet MS"/>
          <w:sz w:val="22"/>
          <w:szCs w:val="22"/>
        </w:rPr>
        <w:t>ă</w:t>
      </w:r>
      <w:r w:rsidR="00ED6A7A" w:rsidRPr="00ED6A7A">
        <w:rPr>
          <w:rFonts w:ascii="Trebuchet MS" w:hAnsi="Trebuchet MS"/>
          <w:sz w:val="22"/>
          <w:szCs w:val="22"/>
        </w:rPr>
        <w:t>rile ulterioare</w:t>
      </w:r>
      <w:bookmarkEnd w:id="30"/>
      <w:r w:rsidR="009929B5">
        <w:rPr>
          <w:rFonts w:ascii="Trebuchet MS" w:hAnsi="Trebuchet MS"/>
          <w:sz w:val="22"/>
          <w:szCs w:val="22"/>
        </w:rPr>
        <w:t xml:space="preserve">, </w:t>
      </w:r>
      <w:r w:rsidR="00ED6A7A">
        <w:rPr>
          <w:rFonts w:ascii="Trebuchet MS" w:hAnsi="Trebuchet MS"/>
          <w:sz w:val="22"/>
          <w:szCs w:val="22"/>
        </w:rPr>
        <w:t>regăsite în</w:t>
      </w:r>
      <w:r w:rsidR="009929B5">
        <w:rPr>
          <w:rFonts w:ascii="Trebuchet MS" w:hAnsi="Trebuchet MS"/>
          <w:sz w:val="22"/>
          <w:szCs w:val="22"/>
        </w:rPr>
        <w:t xml:space="preserve"> tabelul următor:</w:t>
      </w:r>
    </w:p>
    <w:p w14:paraId="7FF6634B" w14:textId="77777777" w:rsidR="009929B5" w:rsidRDefault="009929B5" w:rsidP="009929B5">
      <w:pPr>
        <w:spacing w:line="276" w:lineRule="auto"/>
        <w:ind w:left="1354"/>
        <w:jc w:val="both"/>
        <w:rPr>
          <w:rFonts w:ascii="Trebuchet MS" w:hAnsi="Trebuchet MS"/>
          <w:sz w:val="22"/>
          <w:szCs w:val="22"/>
        </w:rPr>
      </w:pPr>
    </w:p>
    <w:p w14:paraId="426A4A8D" w14:textId="0B230E96" w:rsidR="009929B5" w:rsidRDefault="00875B01" w:rsidP="001E1C3A">
      <w:pPr>
        <w:spacing w:line="276" w:lineRule="auto"/>
        <w:ind w:left="1080"/>
        <w:jc w:val="both"/>
        <w:rPr>
          <w:rFonts w:ascii="Trebuchet MS" w:hAnsi="Trebuchet MS"/>
          <w:sz w:val="22"/>
          <w:szCs w:val="22"/>
        </w:rPr>
      </w:pPr>
      <w:r>
        <w:rPr>
          <w:rFonts w:ascii="Trebuchet MS" w:hAnsi="Trebuchet MS"/>
          <w:sz w:val="22"/>
          <w:szCs w:val="22"/>
        </w:rPr>
        <w:t xml:space="preserve">Tabel 3 - </w:t>
      </w:r>
      <w:r w:rsidRPr="00875B01">
        <w:rPr>
          <w:rFonts w:ascii="Trebuchet MS" w:hAnsi="Trebuchet MS"/>
          <w:sz w:val="22"/>
          <w:szCs w:val="22"/>
        </w:rPr>
        <w:t>Plafoanele</w:t>
      </w:r>
      <w:r>
        <w:rPr>
          <w:rFonts w:ascii="Trebuchet MS" w:hAnsi="Trebuchet MS"/>
          <w:sz w:val="22"/>
          <w:szCs w:val="22"/>
        </w:rPr>
        <w:t xml:space="preserve"> </w:t>
      </w:r>
      <w:r w:rsidRPr="00875B01">
        <w:rPr>
          <w:rFonts w:ascii="Trebuchet MS" w:hAnsi="Trebuchet MS"/>
          <w:sz w:val="22"/>
          <w:szCs w:val="22"/>
        </w:rPr>
        <w:t>pe baza cărora se calculează costurile salariale</w:t>
      </w:r>
      <w:r>
        <w:rPr>
          <w:rFonts w:ascii="Trebuchet MS" w:hAnsi="Trebuchet MS"/>
          <w:sz w:val="22"/>
          <w:szCs w:val="22"/>
        </w:rPr>
        <w:t xml:space="preserve"> d</w:t>
      </w:r>
      <w:r w:rsidRPr="00875B01">
        <w:rPr>
          <w:rFonts w:ascii="Trebuchet MS" w:hAnsi="Trebuchet MS"/>
          <w:sz w:val="22"/>
          <w:szCs w:val="22"/>
        </w:rPr>
        <w:t xml:space="preserve">irecte </w:t>
      </w:r>
    </w:p>
    <w:tbl>
      <w:tblPr>
        <w:tblStyle w:val="TableGrid"/>
        <w:tblW w:w="4749" w:type="pct"/>
        <w:tblInd w:w="805" w:type="dxa"/>
        <w:tblLook w:val="04A0" w:firstRow="1" w:lastRow="0" w:firstColumn="1" w:lastColumn="0" w:noHBand="0" w:noVBand="1"/>
      </w:tblPr>
      <w:tblGrid>
        <w:gridCol w:w="473"/>
        <w:gridCol w:w="1957"/>
        <w:gridCol w:w="3476"/>
        <w:gridCol w:w="1176"/>
        <w:gridCol w:w="1901"/>
        <w:gridCol w:w="1015"/>
      </w:tblGrid>
      <w:tr w:rsidR="00F578D4" w:rsidRPr="00E827F9" w14:paraId="230E1BFA" w14:textId="77777777" w:rsidTr="001E1C3A">
        <w:tc>
          <w:tcPr>
            <w:tcW w:w="237" w:type="pct"/>
          </w:tcPr>
          <w:p w14:paraId="68C58AF8" w14:textId="61E638FC"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Nr crt</w:t>
            </w:r>
          </w:p>
        </w:tc>
        <w:tc>
          <w:tcPr>
            <w:tcW w:w="1020" w:type="pct"/>
          </w:tcPr>
          <w:p w14:paraId="79235E79" w14:textId="1044A004"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 xml:space="preserve">Categorie activități </w:t>
            </w:r>
          </w:p>
        </w:tc>
        <w:tc>
          <w:tcPr>
            <w:tcW w:w="1759" w:type="pct"/>
          </w:tcPr>
          <w:p w14:paraId="3CE956C4" w14:textId="35739931"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Activități asimilate</w:t>
            </w:r>
            <w:r w:rsidR="000D1C64">
              <w:rPr>
                <w:rStyle w:val="FootnoteReference"/>
                <w:rFonts w:ascii="Trebuchet MS" w:hAnsi="Trebuchet MS"/>
                <w:sz w:val="20"/>
                <w:szCs w:val="20"/>
              </w:rPr>
              <w:footnoteReference w:id="1"/>
            </w:r>
          </w:p>
        </w:tc>
        <w:tc>
          <w:tcPr>
            <w:tcW w:w="506" w:type="pct"/>
          </w:tcPr>
          <w:p w14:paraId="5CEC3640" w14:textId="1FA2A038"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 xml:space="preserve">Nivel studii </w:t>
            </w:r>
          </w:p>
        </w:tc>
        <w:tc>
          <w:tcPr>
            <w:tcW w:w="971" w:type="pct"/>
          </w:tcPr>
          <w:p w14:paraId="6CEA1D79" w14:textId="0FF29066"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Funcția / grad profesional</w:t>
            </w:r>
          </w:p>
        </w:tc>
        <w:tc>
          <w:tcPr>
            <w:tcW w:w="508" w:type="pct"/>
          </w:tcPr>
          <w:p w14:paraId="6C799E32" w14:textId="160BE9F8"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 xml:space="preserve">Limita max în euro/oră </w:t>
            </w:r>
          </w:p>
        </w:tc>
      </w:tr>
      <w:tr w:rsidR="00F578D4" w:rsidRPr="00E827F9" w14:paraId="2441A5E5" w14:textId="77777777" w:rsidTr="001E1C3A">
        <w:tc>
          <w:tcPr>
            <w:tcW w:w="237" w:type="pct"/>
          </w:tcPr>
          <w:p w14:paraId="32127D1E" w14:textId="42A3EEA7"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1.</w:t>
            </w:r>
          </w:p>
        </w:tc>
        <w:tc>
          <w:tcPr>
            <w:tcW w:w="1020" w:type="pct"/>
          </w:tcPr>
          <w:p w14:paraId="0A56B348" w14:textId="546CA351"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 xml:space="preserve">Activități ce presupun un înalt nivel al creativității și/sau experiența și abilitatea de conducere </w:t>
            </w:r>
          </w:p>
        </w:tc>
        <w:tc>
          <w:tcPr>
            <w:tcW w:w="1759" w:type="pct"/>
          </w:tcPr>
          <w:p w14:paraId="3E5A3929" w14:textId="381F4B88" w:rsidR="002B2B0C" w:rsidRPr="00E827F9" w:rsidRDefault="002B2B0C" w:rsidP="00494EAE">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efectuarea de cercetări, experimente, teste și analize</w:t>
            </w:r>
          </w:p>
          <w:p w14:paraId="5A056C99" w14:textId="626787CB" w:rsidR="002B2B0C" w:rsidRPr="00E827F9" w:rsidRDefault="002B2B0C" w:rsidP="002B2B0C">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elaborarea de concepte, teorii, modele, tehnici, instrumente, software și metode operaționale</w:t>
            </w:r>
          </w:p>
          <w:p w14:paraId="1D240FF0" w14:textId="77777777" w:rsidR="002B2B0C" w:rsidRPr="00E827F9" w:rsidRDefault="002B2B0C" w:rsidP="00494EAE">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culegerea, prelucrarea, evaluarea, analiza și interpretarea datelor de cercetare</w:t>
            </w:r>
          </w:p>
          <w:p w14:paraId="67250C69" w14:textId="3407E35F" w:rsidR="002B2B0C" w:rsidRPr="00E827F9" w:rsidRDefault="002B2B0C" w:rsidP="002B2B0C">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evaluarea rezultatelor investigațiilor și experimentelor și formularea de concluzii utilizând diferite tehnici și modele</w:t>
            </w:r>
          </w:p>
          <w:p w14:paraId="7E880C7D" w14:textId="0BEF5E6C" w:rsidR="002B2B0C" w:rsidRPr="00E827F9" w:rsidRDefault="002B2B0C" w:rsidP="00494EAE">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aplicarea principiilor, tehnicilor și proceselor pentru a dezvolta sau a îmbunătăți aplicații practice</w:t>
            </w:r>
          </w:p>
          <w:p w14:paraId="542F774B" w14:textId="29AA0EE8" w:rsidR="002B2B0C" w:rsidRPr="00E827F9" w:rsidRDefault="002B2B0C" w:rsidP="00494EAE">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consilierea privind proiectarea, planificarea și organizarea testării, construcției,</w:t>
            </w:r>
            <w:r w:rsidR="009E206A" w:rsidRPr="00E827F9">
              <w:rPr>
                <w:rFonts w:ascii="Trebuchet MS" w:hAnsi="Trebuchet MS"/>
                <w:sz w:val="20"/>
                <w:szCs w:val="20"/>
              </w:rPr>
              <w:t xml:space="preserve"> </w:t>
            </w:r>
            <w:r w:rsidRPr="00E827F9">
              <w:rPr>
                <w:rFonts w:ascii="Trebuchet MS" w:hAnsi="Trebuchet MS"/>
                <w:sz w:val="20"/>
                <w:szCs w:val="20"/>
              </w:rPr>
              <w:t>instalarea și întreținerea structurilor, mașinilor, sistemelor și a sistemelor lor de</w:t>
            </w:r>
            <w:r w:rsidR="009E206A" w:rsidRPr="00E827F9">
              <w:rPr>
                <w:rFonts w:ascii="Trebuchet MS" w:hAnsi="Trebuchet MS"/>
                <w:sz w:val="20"/>
                <w:szCs w:val="20"/>
              </w:rPr>
              <w:t xml:space="preserve"> </w:t>
            </w:r>
            <w:r w:rsidRPr="00E827F9">
              <w:rPr>
                <w:rFonts w:ascii="Trebuchet MS" w:hAnsi="Trebuchet MS"/>
                <w:sz w:val="20"/>
                <w:szCs w:val="20"/>
              </w:rPr>
              <w:t>componente</w:t>
            </w:r>
          </w:p>
          <w:p w14:paraId="40CFF944" w14:textId="15C3B883" w:rsidR="00E827F9" w:rsidRPr="00E827F9" w:rsidRDefault="00E827F9" w:rsidP="00494EAE">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planificarea, dirijarea și coordonarea aspectelor tehnice și științifice de cercetare și dezvoltare</w:t>
            </w:r>
          </w:p>
          <w:p w14:paraId="750ED401" w14:textId="237B0D77" w:rsidR="002B2B0C" w:rsidRPr="00E827F9" w:rsidRDefault="002B2B0C" w:rsidP="00494EAE">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furnizarea de consultanță și sprijin pentru guverne, organizații și întreprinderi</w:t>
            </w:r>
            <w:r w:rsidR="009E206A" w:rsidRPr="00E827F9">
              <w:rPr>
                <w:rFonts w:ascii="Trebuchet MS" w:hAnsi="Trebuchet MS"/>
                <w:sz w:val="20"/>
                <w:szCs w:val="20"/>
              </w:rPr>
              <w:t xml:space="preserve"> </w:t>
            </w:r>
            <w:r w:rsidRPr="00E827F9">
              <w:rPr>
                <w:rFonts w:ascii="Trebuchet MS" w:hAnsi="Trebuchet MS"/>
                <w:sz w:val="20"/>
                <w:szCs w:val="20"/>
              </w:rPr>
              <w:t>în ceea ce privește aplicarea rezultatelor cercetării</w:t>
            </w:r>
          </w:p>
          <w:p w14:paraId="67C1A4EC" w14:textId="1333A7D2" w:rsidR="002B2B0C" w:rsidRPr="00E827F9" w:rsidRDefault="002B2B0C" w:rsidP="00494EAE">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planificarea, dirijarea și coordonarea activităților de cercetare și dezvoltare ale instituțiilor care</w:t>
            </w:r>
            <w:r w:rsidR="009E206A" w:rsidRPr="00E827F9">
              <w:rPr>
                <w:rFonts w:ascii="Trebuchet MS" w:hAnsi="Trebuchet MS"/>
                <w:sz w:val="20"/>
                <w:szCs w:val="20"/>
              </w:rPr>
              <w:t xml:space="preserve"> </w:t>
            </w:r>
            <w:r w:rsidRPr="00E827F9">
              <w:rPr>
                <w:rFonts w:ascii="Trebuchet MS" w:hAnsi="Trebuchet MS"/>
                <w:sz w:val="20"/>
                <w:szCs w:val="20"/>
              </w:rPr>
              <w:t>furnizează servicii conexe altor organizații</w:t>
            </w:r>
          </w:p>
          <w:p w14:paraId="68DB9190" w14:textId="77777777" w:rsidR="002B2B0C" w:rsidRDefault="002B2B0C" w:rsidP="00E827F9">
            <w:pPr>
              <w:pStyle w:val="ListParagraph"/>
              <w:numPr>
                <w:ilvl w:val="0"/>
                <w:numId w:val="22"/>
              </w:numPr>
              <w:spacing w:line="276" w:lineRule="auto"/>
              <w:ind w:left="406"/>
              <w:jc w:val="both"/>
              <w:rPr>
                <w:rFonts w:ascii="Trebuchet MS" w:hAnsi="Trebuchet MS"/>
                <w:sz w:val="20"/>
                <w:szCs w:val="20"/>
              </w:rPr>
            </w:pPr>
            <w:r w:rsidRPr="00E827F9">
              <w:rPr>
                <w:rFonts w:ascii="Trebuchet MS" w:hAnsi="Trebuchet MS"/>
                <w:sz w:val="20"/>
                <w:szCs w:val="20"/>
              </w:rPr>
              <w:t>elaborarea de lucrări și rapoarte științifice</w:t>
            </w:r>
          </w:p>
          <w:p w14:paraId="7E6E3F99" w14:textId="765E03E3" w:rsidR="00432238" w:rsidRPr="00E827F9" w:rsidRDefault="00432238" w:rsidP="00432238">
            <w:pPr>
              <w:pStyle w:val="ListParagraph"/>
              <w:spacing w:line="276" w:lineRule="auto"/>
              <w:ind w:left="406"/>
              <w:jc w:val="both"/>
              <w:rPr>
                <w:rFonts w:ascii="Trebuchet MS" w:hAnsi="Trebuchet MS"/>
                <w:sz w:val="20"/>
                <w:szCs w:val="20"/>
              </w:rPr>
            </w:pPr>
          </w:p>
        </w:tc>
        <w:tc>
          <w:tcPr>
            <w:tcW w:w="506" w:type="pct"/>
          </w:tcPr>
          <w:p w14:paraId="3B287A4B" w14:textId="5EB26F8C"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superioare</w:t>
            </w:r>
          </w:p>
        </w:tc>
        <w:tc>
          <w:tcPr>
            <w:tcW w:w="971" w:type="pct"/>
          </w:tcPr>
          <w:p w14:paraId="1AE85E5F" w14:textId="6653717E" w:rsidR="002B2B0C" w:rsidRPr="00E827F9" w:rsidRDefault="00DA6576" w:rsidP="00494EAE">
            <w:pPr>
              <w:spacing w:line="276" w:lineRule="auto"/>
              <w:jc w:val="both"/>
              <w:rPr>
                <w:rFonts w:ascii="Trebuchet MS" w:hAnsi="Trebuchet MS"/>
                <w:sz w:val="20"/>
                <w:szCs w:val="20"/>
              </w:rPr>
            </w:pPr>
            <w:r w:rsidRPr="00DA6576">
              <w:rPr>
                <w:rFonts w:ascii="Trebuchet MS" w:hAnsi="Trebuchet MS"/>
                <w:sz w:val="20"/>
                <w:szCs w:val="20"/>
              </w:rPr>
              <w:t>director, administrator și alți membri în echipa de management pe funcţiile definite în cererea de  finanţare</w:t>
            </w:r>
          </w:p>
        </w:tc>
        <w:tc>
          <w:tcPr>
            <w:tcW w:w="508" w:type="pct"/>
          </w:tcPr>
          <w:p w14:paraId="5F793528" w14:textId="1FFE1634" w:rsidR="002B2B0C" w:rsidRPr="00E827F9" w:rsidRDefault="00E827F9" w:rsidP="009929B5">
            <w:pPr>
              <w:spacing w:line="276" w:lineRule="auto"/>
              <w:jc w:val="both"/>
              <w:rPr>
                <w:rFonts w:ascii="Trebuchet MS" w:hAnsi="Trebuchet MS"/>
                <w:sz w:val="20"/>
                <w:szCs w:val="20"/>
              </w:rPr>
            </w:pPr>
            <w:r w:rsidRPr="00E827F9">
              <w:rPr>
                <w:rFonts w:ascii="Trebuchet MS" w:hAnsi="Trebuchet MS"/>
                <w:sz w:val="20"/>
                <w:szCs w:val="20"/>
              </w:rPr>
              <w:t>50</w:t>
            </w:r>
          </w:p>
        </w:tc>
      </w:tr>
      <w:tr w:rsidR="00F578D4" w:rsidRPr="00E827F9" w14:paraId="4DBA4145" w14:textId="77777777" w:rsidTr="001E1C3A">
        <w:tc>
          <w:tcPr>
            <w:tcW w:w="237" w:type="pct"/>
          </w:tcPr>
          <w:p w14:paraId="6A04B7F3" w14:textId="0A327E9A"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 xml:space="preserve">2. </w:t>
            </w:r>
          </w:p>
        </w:tc>
        <w:tc>
          <w:tcPr>
            <w:tcW w:w="1020" w:type="pct"/>
          </w:tcPr>
          <w:p w14:paraId="5211D7C5" w14:textId="7778FF00"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Activități ce presupun cunoașterea aprofundată a metodelor de analiză și sinteză, precum și abilități de utilizare a acestora</w:t>
            </w:r>
          </w:p>
        </w:tc>
        <w:tc>
          <w:tcPr>
            <w:tcW w:w="1759" w:type="pct"/>
          </w:tcPr>
          <w:p w14:paraId="1C053FCA" w14:textId="0A39C0E6"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efectuarea de căutări bibliografice și selectarea materialelor relevante din</w:t>
            </w:r>
            <w:r>
              <w:rPr>
                <w:rFonts w:ascii="Trebuchet MS" w:hAnsi="Trebuchet MS"/>
                <w:sz w:val="20"/>
                <w:szCs w:val="20"/>
              </w:rPr>
              <w:t xml:space="preserve"> </w:t>
            </w:r>
            <w:r w:rsidRPr="00432238">
              <w:rPr>
                <w:rFonts w:ascii="Trebuchet MS" w:hAnsi="Trebuchet MS"/>
                <w:sz w:val="20"/>
                <w:szCs w:val="20"/>
              </w:rPr>
              <w:t>arhive și biblioteci</w:t>
            </w:r>
          </w:p>
          <w:p w14:paraId="106CE873" w14:textId="77777777"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pregătirea programelor de calculator</w:t>
            </w:r>
          </w:p>
          <w:p w14:paraId="3D1E42DE" w14:textId="77777777"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efectuarea de experimente, teste și analize</w:t>
            </w:r>
          </w:p>
          <w:p w14:paraId="4CF8163D" w14:textId="77777777"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furnizarea de asistență tehnică și sprijin în cercetare și dezvoltare sau testarea prototipurilor</w:t>
            </w:r>
          </w:p>
          <w:p w14:paraId="647A08F6" w14:textId="77777777"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operarea, întreținerea și repararea echipamentelor de cercetare</w:t>
            </w:r>
          </w:p>
          <w:p w14:paraId="38B6A74D" w14:textId="77777777"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pregătirea materialelor și echipamentelor pentru experimente, teste și analize</w:t>
            </w:r>
          </w:p>
          <w:p w14:paraId="08015AAF" w14:textId="0C1374B0"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înregistrarea măsurătorilor, efectuarea de calcule și întocmirea de diagrame și tabele</w:t>
            </w:r>
            <w:r>
              <w:rPr>
                <w:rFonts w:ascii="Trebuchet MS" w:hAnsi="Trebuchet MS"/>
                <w:sz w:val="20"/>
                <w:szCs w:val="20"/>
              </w:rPr>
              <w:t xml:space="preserve"> </w:t>
            </w:r>
            <w:r w:rsidRPr="00432238">
              <w:rPr>
                <w:rFonts w:ascii="Trebuchet MS" w:hAnsi="Trebuchet MS"/>
                <w:sz w:val="20"/>
                <w:szCs w:val="20"/>
              </w:rPr>
              <w:t>grafice</w:t>
            </w:r>
          </w:p>
          <w:p w14:paraId="37009589" w14:textId="77777777"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culegerea de informații utilizând metode științifice acceptate</w:t>
            </w:r>
          </w:p>
          <w:p w14:paraId="2C7577D2" w14:textId="77777777" w:rsidR="00432238"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asistarea la analiza datelor, păstrarea înregistrărilor și pregătirea rapoartelor.</w:t>
            </w:r>
          </w:p>
          <w:p w14:paraId="74EBD29C" w14:textId="7A92CCE5" w:rsidR="002B2B0C" w:rsidRPr="00432238" w:rsidRDefault="00432238" w:rsidP="00432238">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efectuarea de anchete statistice și interviuri.</w:t>
            </w:r>
          </w:p>
        </w:tc>
        <w:tc>
          <w:tcPr>
            <w:tcW w:w="506" w:type="pct"/>
          </w:tcPr>
          <w:p w14:paraId="118F8007" w14:textId="668AC671"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superioare</w:t>
            </w:r>
          </w:p>
        </w:tc>
        <w:tc>
          <w:tcPr>
            <w:tcW w:w="971" w:type="pct"/>
          </w:tcPr>
          <w:p w14:paraId="492F4FC1" w14:textId="3E8DDD07" w:rsidR="002B2B0C" w:rsidRPr="00E827F9" w:rsidRDefault="00DA6576" w:rsidP="009929B5">
            <w:pPr>
              <w:spacing w:line="276" w:lineRule="auto"/>
              <w:jc w:val="both"/>
              <w:rPr>
                <w:rFonts w:ascii="Trebuchet MS" w:hAnsi="Trebuchet MS"/>
                <w:sz w:val="20"/>
                <w:szCs w:val="20"/>
              </w:rPr>
            </w:pPr>
            <w:r w:rsidRPr="00DA6576">
              <w:rPr>
                <w:rFonts w:ascii="Trebuchet MS" w:hAnsi="Trebuchet MS"/>
                <w:sz w:val="20"/>
                <w:szCs w:val="20"/>
              </w:rPr>
              <w:t>şef program/proiect, responsabil tehnic / juridic/ achiziții/ financiar / proiect potrivit funcțiilor descrise în cererea de finanțare</w:t>
            </w:r>
          </w:p>
        </w:tc>
        <w:tc>
          <w:tcPr>
            <w:tcW w:w="508" w:type="pct"/>
          </w:tcPr>
          <w:p w14:paraId="37137655" w14:textId="48F4A4DF" w:rsidR="002B2B0C" w:rsidRPr="00E827F9" w:rsidRDefault="00F578D4" w:rsidP="009929B5">
            <w:pPr>
              <w:spacing w:line="276" w:lineRule="auto"/>
              <w:jc w:val="both"/>
              <w:rPr>
                <w:rFonts w:ascii="Trebuchet MS" w:hAnsi="Trebuchet MS"/>
                <w:sz w:val="20"/>
                <w:szCs w:val="20"/>
              </w:rPr>
            </w:pPr>
            <w:r>
              <w:rPr>
                <w:rFonts w:ascii="Trebuchet MS" w:hAnsi="Trebuchet MS"/>
                <w:sz w:val="20"/>
                <w:szCs w:val="20"/>
              </w:rPr>
              <w:t>35</w:t>
            </w:r>
          </w:p>
        </w:tc>
      </w:tr>
      <w:tr w:rsidR="00F578D4" w:rsidRPr="00E827F9" w14:paraId="0365F15B" w14:textId="77777777" w:rsidTr="001E1C3A">
        <w:tc>
          <w:tcPr>
            <w:tcW w:w="237" w:type="pct"/>
          </w:tcPr>
          <w:p w14:paraId="6A380E0C" w14:textId="0C384287" w:rsidR="00F578D4" w:rsidRPr="00E827F9" w:rsidRDefault="00F578D4" w:rsidP="009929B5">
            <w:pPr>
              <w:spacing w:line="276" w:lineRule="auto"/>
              <w:jc w:val="both"/>
              <w:rPr>
                <w:rFonts w:ascii="Trebuchet MS" w:hAnsi="Trebuchet MS"/>
                <w:sz w:val="20"/>
                <w:szCs w:val="20"/>
              </w:rPr>
            </w:pPr>
            <w:r>
              <w:rPr>
                <w:rFonts w:ascii="Trebuchet MS" w:hAnsi="Trebuchet MS"/>
                <w:sz w:val="20"/>
                <w:szCs w:val="20"/>
              </w:rPr>
              <w:t xml:space="preserve">3. </w:t>
            </w:r>
          </w:p>
        </w:tc>
        <w:tc>
          <w:tcPr>
            <w:tcW w:w="1020" w:type="pct"/>
          </w:tcPr>
          <w:p w14:paraId="037FE424" w14:textId="1D636F8F" w:rsidR="00F578D4" w:rsidRPr="00E827F9" w:rsidRDefault="00F578D4" w:rsidP="009929B5">
            <w:pPr>
              <w:spacing w:line="276" w:lineRule="auto"/>
              <w:jc w:val="both"/>
              <w:rPr>
                <w:rFonts w:ascii="Trebuchet MS" w:hAnsi="Trebuchet MS"/>
                <w:sz w:val="20"/>
                <w:szCs w:val="20"/>
              </w:rPr>
            </w:pPr>
            <w:r>
              <w:rPr>
                <w:rFonts w:ascii="Trebuchet MS" w:hAnsi="Trebuchet MS"/>
                <w:sz w:val="20"/>
                <w:szCs w:val="20"/>
              </w:rPr>
              <w:t>Activități ce presupun cunoașterea metodelor de analiză și de sinteză și a metodologiilor cercetării, precum și abilități de utilizare a acestora</w:t>
            </w:r>
          </w:p>
        </w:tc>
        <w:tc>
          <w:tcPr>
            <w:tcW w:w="1759" w:type="pct"/>
          </w:tcPr>
          <w:p w14:paraId="0F2F0D62" w14:textId="7CE83711" w:rsidR="003B352C" w:rsidRPr="003B352C" w:rsidRDefault="003B352C" w:rsidP="003B352C">
            <w:pPr>
              <w:pStyle w:val="ListParagraph"/>
              <w:numPr>
                <w:ilvl w:val="0"/>
                <w:numId w:val="23"/>
              </w:numPr>
              <w:spacing w:line="276" w:lineRule="auto"/>
              <w:ind w:left="391"/>
              <w:jc w:val="both"/>
              <w:rPr>
                <w:rFonts w:ascii="Trebuchet MS" w:hAnsi="Trebuchet MS"/>
                <w:sz w:val="20"/>
                <w:szCs w:val="20"/>
              </w:rPr>
            </w:pPr>
            <w:r w:rsidRPr="003B352C">
              <w:rPr>
                <w:rFonts w:ascii="Trebuchet MS" w:hAnsi="Trebuchet MS"/>
                <w:sz w:val="20"/>
                <w:szCs w:val="20"/>
              </w:rPr>
              <w:t>efectuarea de căutări bibliografice și selectarea materialelor relevante din arhive și biblioteci</w:t>
            </w:r>
          </w:p>
          <w:p w14:paraId="1B2121C6" w14:textId="496C1216" w:rsidR="003B352C" w:rsidRPr="003B352C" w:rsidRDefault="003B352C" w:rsidP="003B352C">
            <w:pPr>
              <w:pStyle w:val="ListParagraph"/>
              <w:numPr>
                <w:ilvl w:val="0"/>
                <w:numId w:val="23"/>
              </w:numPr>
              <w:spacing w:line="276" w:lineRule="auto"/>
              <w:ind w:left="391"/>
              <w:jc w:val="both"/>
              <w:rPr>
                <w:rFonts w:ascii="Trebuchet MS" w:hAnsi="Trebuchet MS"/>
                <w:sz w:val="20"/>
                <w:szCs w:val="20"/>
              </w:rPr>
            </w:pPr>
            <w:r w:rsidRPr="003B352C">
              <w:rPr>
                <w:rFonts w:ascii="Trebuchet MS" w:hAnsi="Trebuchet MS"/>
                <w:sz w:val="20"/>
                <w:szCs w:val="20"/>
              </w:rPr>
              <w:t>pregătirea programelor de calculator</w:t>
            </w:r>
          </w:p>
          <w:p w14:paraId="6119731B" w14:textId="34A6394A" w:rsidR="003B352C" w:rsidRPr="003B352C" w:rsidRDefault="003B352C" w:rsidP="003B352C">
            <w:pPr>
              <w:pStyle w:val="ListParagraph"/>
              <w:numPr>
                <w:ilvl w:val="0"/>
                <w:numId w:val="23"/>
              </w:numPr>
              <w:spacing w:line="276" w:lineRule="auto"/>
              <w:ind w:left="391"/>
              <w:jc w:val="both"/>
              <w:rPr>
                <w:rFonts w:ascii="Trebuchet MS" w:hAnsi="Trebuchet MS"/>
                <w:sz w:val="20"/>
                <w:szCs w:val="20"/>
              </w:rPr>
            </w:pPr>
            <w:r w:rsidRPr="003B352C">
              <w:rPr>
                <w:rFonts w:ascii="Trebuchet MS" w:hAnsi="Trebuchet MS"/>
                <w:sz w:val="20"/>
                <w:szCs w:val="20"/>
              </w:rPr>
              <w:t>efectuarea de experimente, teste și analize</w:t>
            </w:r>
          </w:p>
          <w:p w14:paraId="4C065CD8" w14:textId="77777777" w:rsidR="00F578D4" w:rsidRDefault="003B352C" w:rsidP="003B352C">
            <w:pPr>
              <w:pStyle w:val="ListParagraph"/>
              <w:numPr>
                <w:ilvl w:val="0"/>
                <w:numId w:val="23"/>
              </w:numPr>
              <w:spacing w:line="276" w:lineRule="auto"/>
              <w:ind w:left="391"/>
              <w:jc w:val="both"/>
              <w:rPr>
                <w:rFonts w:ascii="Trebuchet MS" w:hAnsi="Trebuchet MS"/>
                <w:sz w:val="20"/>
                <w:szCs w:val="20"/>
              </w:rPr>
            </w:pPr>
            <w:r w:rsidRPr="003B352C">
              <w:rPr>
                <w:rFonts w:ascii="Trebuchet MS" w:hAnsi="Trebuchet MS"/>
                <w:sz w:val="20"/>
                <w:szCs w:val="20"/>
              </w:rPr>
              <w:t>furnizarea de asistență tehnică și sprijin în cercetare și dezvoltare sau testarea prototipurilor</w:t>
            </w:r>
          </w:p>
          <w:p w14:paraId="2B24BB50" w14:textId="77777777" w:rsidR="003B352C" w:rsidRPr="00432238" w:rsidRDefault="003B352C" w:rsidP="003B352C">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înregistrarea măsurătorilor, efectuarea de calcule și întocmirea de diagrame și tabele</w:t>
            </w:r>
            <w:r>
              <w:rPr>
                <w:rFonts w:ascii="Trebuchet MS" w:hAnsi="Trebuchet MS"/>
                <w:sz w:val="20"/>
                <w:szCs w:val="20"/>
              </w:rPr>
              <w:t xml:space="preserve"> </w:t>
            </w:r>
            <w:r w:rsidRPr="00432238">
              <w:rPr>
                <w:rFonts w:ascii="Trebuchet MS" w:hAnsi="Trebuchet MS"/>
                <w:sz w:val="20"/>
                <w:szCs w:val="20"/>
              </w:rPr>
              <w:t>grafice</w:t>
            </w:r>
          </w:p>
          <w:p w14:paraId="3B32B4AB" w14:textId="77777777" w:rsidR="003B352C" w:rsidRPr="00432238" w:rsidRDefault="003B352C" w:rsidP="003B352C">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culegerea de informații utilizând metode științifice acceptate</w:t>
            </w:r>
          </w:p>
          <w:p w14:paraId="2349DE56" w14:textId="77777777" w:rsidR="003B352C" w:rsidRPr="00432238" w:rsidRDefault="003B352C" w:rsidP="003B352C">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asistarea la analiza datelor, păstrarea înregistrărilor și pregătirea rapoartelor.</w:t>
            </w:r>
          </w:p>
          <w:p w14:paraId="5C5FDD44" w14:textId="63E35764" w:rsidR="003B352C" w:rsidRPr="00E827F9" w:rsidRDefault="003B352C" w:rsidP="003B352C">
            <w:pPr>
              <w:pStyle w:val="ListParagraph"/>
              <w:numPr>
                <w:ilvl w:val="0"/>
                <w:numId w:val="23"/>
              </w:numPr>
              <w:spacing w:line="276" w:lineRule="auto"/>
              <w:ind w:left="391"/>
              <w:jc w:val="both"/>
              <w:rPr>
                <w:rFonts w:ascii="Trebuchet MS" w:hAnsi="Trebuchet MS"/>
                <w:sz w:val="20"/>
                <w:szCs w:val="20"/>
              </w:rPr>
            </w:pPr>
            <w:r w:rsidRPr="00432238">
              <w:rPr>
                <w:rFonts w:ascii="Trebuchet MS" w:hAnsi="Trebuchet MS"/>
                <w:sz w:val="20"/>
                <w:szCs w:val="20"/>
              </w:rPr>
              <w:t>efectuarea de anchete statistice și interviuri.</w:t>
            </w:r>
          </w:p>
        </w:tc>
        <w:tc>
          <w:tcPr>
            <w:tcW w:w="506" w:type="pct"/>
          </w:tcPr>
          <w:p w14:paraId="64B86FA3" w14:textId="3DC70DE1" w:rsidR="00F578D4" w:rsidRPr="00E827F9" w:rsidRDefault="00F578D4" w:rsidP="009929B5">
            <w:pPr>
              <w:spacing w:line="276" w:lineRule="auto"/>
              <w:jc w:val="both"/>
              <w:rPr>
                <w:rFonts w:ascii="Trebuchet MS" w:hAnsi="Trebuchet MS"/>
                <w:sz w:val="20"/>
                <w:szCs w:val="20"/>
              </w:rPr>
            </w:pPr>
            <w:r>
              <w:rPr>
                <w:rFonts w:ascii="Trebuchet MS" w:hAnsi="Trebuchet MS"/>
                <w:sz w:val="20"/>
                <w:szCs w:val="20"/>
              </w:rPr>
              <w:t>superioare</w:t>
            </w:r>
          </w:p>
        </w:tc>
        <w:tc>
          <w:tcPr>
            <w:tcW w:w="971" w:type="pct"/>
          </w:tcPr>
          <w:p w14:paraId="129FBCAD" w14:textId="0F85E546" w:rsidR="00F578D4" w:rsidRPr="00F578D4" w:rsidRDefault="00DA6576" w:rsidP="009929B5">
            <w:pPr>
              <w:spacing w:line="276" w:lineRule="auto"/>
              <w:jc w:val="both"/>
              <w:rPr>
                <w:rFonts w:ascii="Trebuchet MS" w:hAnsi="Trebuchet MS"/>
                <w:sz w:val="20"/>
                <w:szCs w:val="20"/>
              </w:rPr>
            </w:pPr>
            <w:r w:rsidRPr="00DA6576">
              <w:rPr>
                <w:rFonts w:ascii="Trebuchet MS" w:hAnsi="Trebuchet MS"/>
                <w:sz w:val="20"/>
                <w:szCs w:val="20"/>
              </w:rPr>
              <w:t>Personal implicat în efectuarea propriu-zisă a activităților</w:t>
            </w:r>
          </w:p>
        </w:tc>
        <w:tc>
          <w:tcPr>
            <w:tcW w:w="508" w:type="pct"/>
          </w:tcPr>
          <w:p w14:paraId="1515E103" w14:textId="54A208F1" w:rsidR="00F578D4" w:rsidRPr="00E827F9" w:rsidRDefault="00F578D4" w:rsidP="009929B5">
            <w:pPr>
              <w:spacing w:line="276" w:lineRule="auto"/>
              <w:jc w:val="both"/>
              <w:rPr>
                <w:rFonts w:ascii="Trebuchet MS" w:hAnsi="Trebuchet MS"/>
                <w:sz w:val="20"/>
                <w:szCs w:val="20"/>
              </w:rPr>
            </w:pPr>
            <w:r>
              <w:rPr>
                <w:rFonts w:ascii="Trebuchet MS" w:hAnsi="Trebuchet MS"/>
                <w:sz w:val="20"/>
                <w:szCs w:val="20"/>
              </w:rPr>
              <w:t>25</w:t>
            </w:r>
          </w:p>
        </w:tc>
      </w:tr>
      <w:tr w:rsidR="00F578D4" w:rsidRPr="00E827F9" w14:paraId="370509A2" w14:textId="77777777" w:rsidTr="001E1C3A">
        <w:tc>
          <w:tcPr>
            <w:tcW w:w="237" w:type="pct"/>
          </w:tcPr>
          <w:p w14:paraId="3BCA63D6" w14:textId="31FF97E9" w:rsidR="002B2B0C" w:rsidRPr="00E827F9" w:rsidRDefault="000D1C64" w:rsidP="009929B5">
            <w:pPr>
              <w:spacing w:line="276" w:lineRule="auto"/>
              <w:jc w:val="both"/>
              <w:rPr>
                <w:rFonts w:ascii="Trebuchet MS" w:hAnsi="Trebuchet MS"/>
                <w:sz w:val="20"/>
                <w:szCs w:val="20"/>
              </w:rPr>
            </w:pPr>
            <w:r>
              <w:rPr>
                <w:rFonts w:ascii="Trebuchet MS" w:hAnsi="Trebuchet MS"/>
                <w:sz w:val="20"/>
                <w:szCs w:val="20"/>
              </w:rPr>
              <w:t>4</w:t>
            </w:r>
            <w:r w:rsidR="002B2B0C" w:rsidRPr="00E827F9">
              <w:rPr>
                <w:rFonts w:ascii="Trebuchet MS" w:hAnsi="Trebuchet MS"/>
                <w:sz w:val="20"/>
                <w:szCs w:val="20"/>
              </w:rPr>
              <w:t>.</w:t>
            </w:r>
          </w:p>
        </w:tc>
        <w:tc>
          <w:tcPr>
            <w:tcW w:w="1020" w:type="pct"/>
          </w:tcPr>
          <w:p w14:paraId="5E64EABF" w14:textId="53CE954F"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Activități suport</w:t>
            </w:r>
          </w:p>
        </w:tc>
        <w:tc>
          <w:tcPr>
            <w:tcW w:w="1759" w:type="pct"/>
          </w:tcPr>
          <w:p w14:paraId="32E47B15" w14:textId="53A94D46" w:rsidR="00167B5F" w:rsidRDefault="00167B5F" w:rsidP="00F578D4">
            <w:pPr>
              <w:pStyle w:val="ListParagraph"/>
              <w:numPr>
                <w:ilvl w:val="0"/>
                <w:numId w:val="23"/>
              </w:numPr>
              <w:spacing w:line="276" w:lineRule="auto"/>
              <w:ind w:left="391"/>
              <w:jc w:val="both"/>
              <w:rPr>
                <w:rFonts w:ascii="Trebuchet MS" w:hAnsi="Trebuchet MS"/>
                <w:sz w:val="20"/>
                <w:szCs w:val="20"/>
              </w:rPr>
            </w:pPr>
            <w:r w:rsidRPr="00167B5F">
              <w:rPr>
                <w:rFonts w:ascii="Trebuchet MS" w:hAnsi="Trebuchet MS"/>
                <w:sz w:val="20"/>
                <w:szCs w:val="20"/>
              </w:rPr>
              <w:t>efectuarea de măsurări, analize, operaţii de execuţie a unor elemente, operaţii de întreţinere</w:t>
            </w:r>
            <w:r>
              <w:rPr>
                <w:rFonts w:ascii="Trebuchet MS" w:hAnsi="Trebuchet MS"/>
                <w:sz w:val="20"/>
                <w:szCs w:val="20"/>
              </w:rPr>
              <w:t>, reparare</w:t>
            </w:r>
            <w:r w:rsidRPr="00167B5F">
              <w:rPr>
                <w:rFonts w:ascii="Trebuchet MS" w:hAnsi="Trebuchet MS"/>
                <w:sz w:val="20"/>
                <w:szCs w:val="20"/>
              </w:rPr>
              <w:t xml:space="preserve"> şi exploatare a aparaturii şi a instalaţiilor de cercetare</w:t>
            </w:r>
          </w:p>
          <w:p w14:paraId="4B308E61" w14:textId="0252ADB9" w:rsidR="00F578D4" w:rsidRDefault="00F578D4" w:rsidP="00F578D4">
            <w:pPr>
              <w:pStyle w:val="ListParagraph"/>
              <w:numPr>
                <w:ilvl w:val="0"/>
                <w:numId w:val="23"/>
              </w:numPr>
              <w:spacing w:line="276" w:lineRule="auto"/>
              <w:ind w:left="391"/>
              <w:jc w:val="both"/>
              <w:rPr>
                <w:rFonts w:ascii="Trebuchet MS" w:hAnsi="Trebuchet MS"/>
                <w:sz w:val="20"/>
                <w:szCs w:val="20"/>
              </w:rPr>
            </w:pPr>
            <w:r>
              <w:rPr>
                <w:rFonts w:ascii="Trebuchet MS" w:hAnsi="Trebuchet MS"/>
                <w:sz w:val="20"/>
                <w:szCs w:val="20"/>
              </w:rPr>
              <w:t>asigurarea fun</w:t>
            </w:r>
            <w:r w:rsidR="00167B5F">
              <w:rPr>
                <w:rFonts w:ascii="Trebuchet MS" w:hAnsi="Trebuchet MS"/>
                <w:sz w:val="20"/>
                <w:szCs w:val="20"/>
              </w:rPr>
              <w:t>c</w:t>
            </w:r>
            <w:r>
              <w:rPr>
                <w:rFonts w:ascii="Trebuchet MS" w:hAnsi="Trebuchet MS"/>
                <w:sz w:val="20"/>
                <w:szCs w:val="20"/>
              </w:rPr>
              <w:t>țiilor de suport de planificare, informațional și financiar</w:t>
            </w:r>
          </w:p>
          <w:p w14:paraId="72CE856F" w14:textId="589B2264" w:rsidR="002B2B0C" w:rsidRPr="00167B5F" w:rsidRDefault="00F578D4" w:rsidP="00167B5F">
            <w:pPr>
              <w:pStyle w:val="ListParagraph"/>
              <w:numPr>
                <w:ilvl w:val="0"/>
                <w:numId w:val="23"/>
              </w:numPr>
              <w:spacing w:line="276" w:lineRule="auto"/>
              <w:ind w:left="391"/>
              <w:jc w:val="both"/>
              <w:rPr>
                <w:rFonts w:ascii="Trebuchet MS" w:hAnsi="Trebuchet MS"/>
                <w:sz w:val="20"/>
                <w:szCs w:val="20"/>
              </w:rPr>
            </w:pPr>
            <w:r>
              <w:rPr>
                <w:rFonts w:ascii="Trebuchet MS" w:hAnsi="Trebuchet MS"/>
                <w:sz w:val="20"/>
                <w:szCs w:val="20"/>
              </w:rPr>
              <w:t xml:space="preserve">asigurarea serviciilor juridice </w:t>
            </w:r>
          </w:p>
        </w:tc>
        <w:tc>
          <w:tcPr>
            <w:tcW w:w="506" w:type="pct"/>
          </w:tcPr>
          <w:p w14:paraId="608E91B4" w14:textId="15FBAAA7" w:rsidR="002B2B0C" w:rsidRPr="00E827F9" w:rsidRDefault="002B2B0C" w:rsidP="009929B5">
            <w:pPr>
              <w:spacing w:line="276" w:lineRule="auto"/>
              <w:jc w:val="both"/>
              <w:rPr>
                <w:rFonts w:ascii="Trebuchet MS" w:hAnsi="Trebuchet MS"/>
                <w:sz w:val="20"/>
                <w:szCs w:val="20"/>
              </w:rPr>
            </w:pPr>
            <w:r w:rsidRPr="00E827F9">
              <w:rPr>
                <w:rFonts w:ascii="Trebuchet MS" w:hAnsi="Trebuchet MS"/>
                <w:sz w:val="20"/>
                <w:szCs w:val="20"/>
              </w:rPr>
              <w:t>Superioare și/sau medii</w:t>
            </w:r>
          </w:p>
        </w:tc>
        <w:tc>
          <w:tcPr>
            <w:tcW w:w="971" w:type="pct"/>
          </w:tcPr>
          <w:p w14:paraId="58788AF1" w14:textId="621BAC15" w:rsidR="002B2B0C" w:rsidRPr="00E827F9" w:rsidRDefault="00DA6576" w:rsidP="009929B5">
            <w:pPr>
              <w:spacing w:line="276" w:lineRule="auto"/>
              <w:jc w:val="both"/>
              <w:rPr>
                <w:rFonts w:ascii="Trebuchet MS" w:hAnsi="Trebuchet MS"/>
                <w:sz w:val="20"/>
                <w:szCs w:val="20"/>
              </w:rPr>
            </w:pPr>
            <w:r w:rsidRPr="00DA6576">
              <w:rPr>
                <w:rFonts w:ascii="Trebuchet MS" w:hAnsi="Trebuchet MS"/>
                <w:sz w:val="20"/>
                <w:szCs w:val="20"/>
              </w:rPr>
              <w:t>Tehnicieni, alte categorii de personal, potrivit funcțiilor descrise în cererea de finanțare</w:t>
            </w:r>
          </w:p>
        </w:tc>
        <w:tc>
          <w:tcPr>
            <w:tcW w:w="508" w:type="pct"/>
          </w:tcPr>
          <w:p w14:paraId="2377369D" w14:textId="5CAD7E3B" w:rsidR="002B2B0C" w:rsidRPr="00E827F9" w:rsidRDefault="00F578D4" w:rsidP="009929B5">
            <w:pPr>
              <w:spacing w:line="276" w:lineRule="auto"/>
              <w:jc w:val="both"/>
              <w:rPr>
                <w:rFonts w:ascii="Trebuchet MS" w:hAnsi="Trebuchet MS"/>
                <w:sz w:val="20"/>
                <w:szCs w:val="20"/>
              </w:rPr>
            </w:pPr>
            <w:r>
              <w:rPr>
                <w:rFonts w:ascii="Trebuchet MS" w:hAnsi="Trebuchet MS"/>
                <w:sz w:val="20"/>
                <w:szCs w:val="20"/>
              </w:rPr>
              <w:t>15</w:t>
            </w:r>
          </w:p>
        </w:tc>
      </w:tr>
    </w:tbl>
    <w:p w14:paraId="40C30A09" w14:textId="77777777" w:rsidR="009929B5" w:rsidRDefault="009929B5" w:rsidP="009929B5">
      <w:pPr>
        <w:spacing w:line="276" w:lineRule="auto"/>
        <w:ind w:left="1354"/>
        <w:jc w:val="both"/>
        <w:rPr>
          <w:rFonts w:ascii="Trebuchet MS" w:hAnsi="Trebuchet MS"/>
          <w:sz w:val="22"/>
          <w:szCs w:val="22"/>
        </w:rPr>
      </w:pPr>
    </w:p>
    <w:p w14:paraId="024493A8" w14:textId="60A62FA9" w:rsidR="00F24C1A" w:rsidRDefault="00F24C1A">
      <w:pPr>
        <w:spacing w:before="120" w:after="120" w:line="276" w:lineRule="auto"/>
        <w:ind w:left="990"/>
        <w:jc w:val="both"/>
        <w:rPr>
          <w:rFonts w:ascii="Trebuchet MS" w:hAnsi="Trebuchet MS"/>
          <w:sz w:val="22"/>
          <w:szCs w:val="22"/>
        </w:rPr>
      </w:pPr>
      <w:r>
        <w:rPr>
          <w:rFonts w:ascii="Trebuchet MS" w:hAnsi="Trebuchet MS" w:cs="Times New Roman"/>
          <w:sz w:val="22"/>
          <w:shd w:val="clear" w:color="auto" w:fill="FFFFFF"/>
        </w:rPr>
        <w:t xml:space="preserve">Costurile salariale se determină </w:t>
      </w:r>
      <w:r w:rsidRPr="006E7AE8">
        <w:rPr>
          <w:rFonts w:ascii="Trebuchet MS" w:hAnsi="Trebuchet MS" w:cs="Times New Roman"/>
          <w:sz w:val="22"/>
          <w:shd w:val="clear" w:color="auto" w:fill="FFFFFF"/>
        </w:rPr>
        <w:t>proporțional cu timpul efectiv alocat activităților în proiect</w:t>
      </w:r>
      <w:r>
        <w:rPr>
          <w:rFonts w:ascii="Trebuchet MS" w:hAnsi="Trebuchet MS" w:cs="Times New Roman"/>
          <w:sz w:val="22"/>
          <w:shd w:val="clear" w:color="auto" w:fill="FFFFFF"/>
        </w:rPr>
        <w:t xml:space="preserve"> </w:t>
      </w:r>
      <w:r w:rsidRPr="006E7AE8">
        <w:rPr>
          <w:rFonts w:ascii="Trebuchet MS" w:hAnsi="Trebuchet MS" w:cs="Times New Roman"/>
          <w:sz w:val="22"/>
          <w:shd w:val="clear" w:color="auto" w:fill="FFFFFF"/>
        </w:rPr>
        <w:t>și includ remunerația netă și contribuțiile/taxele aferente.</w:t>
      </w:r>
    </w:p>
    <w:p w14:paraId="76EA747B" w14:textId="57B628B5"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Participanții direcți vor avea în vedere că </w:t>
      </w:r>
      <w:bookmarkStart w:id="31" w:name="_Hlk149567250"/>
      <w:r>
        <w:rPr>
          <w:rFonts w:ascii="Trebuchet MS" w:hAnsi="Trebuchet MS"/>
          <w:sz w:val="22"/>
          <w:szCs w:val="22"/>
        </w:rPr>
        <w:t xml:space="preserve">sunt eligibile cheltuielile realizate după data </w:t>
      </w:r>
      <w:bookmarkStart w:id="32" w:name="_Hlk150346314"/>
      <w:r>
        <w:rPr>
          <w:rFonts w:ascii="Trebuchet MS" w:hAnsi="Trebuchet MS"/>
          <w:sz w:val="22"/>
          <w:szCs w:val="22"/>
        </w:rPr>
        <w:t>depunerii cererii în apelul de preselecție derulat de MEAT conform OME nr. 99/1.02.2022, respectiv începând cu data de 1 februarie 2022</w:t>
      </w:r>
      <w:bookmarkEnd w:id="31"/>
      <w:bookmarkEnd w:id="32"/>
      <w:r>
        <w:rPr>
          <w:rFonts w:ascii="Trebuchet MS" w:hAnsi="Trebuchet MS"/>
          <w:sz w:val="22"/>
          <w:szCs w:val="22"/>
        </w:rPr>
        <w:t xml:space="preserve">. </w:t>
      </w:r>
    </w:p>
    <w:p w14:paraId="0E308825" w14:textId="77777777" w:rsidR="000654CE" w:rsidRDefault="000654CE">
      <w:pPr>
        <w:spacing w:before="120" w:after="120" w:line="276" w:lineRule="auto"/>
        <w:ind w:left="990"/>
        <w:jc w:val="both"/>
        <w:rPr>
          <w:rFonts w:ascii="Trebuchet MS" w:hAnsi="Trebuchet MS"/>
          <w:sz w:val="22"/>
          <w:szCs w:val="22"/>
        </w:rPr>
      </w:pPr>
    </w:p>
    <w:p w14:paraId="76E3B18E" w14:textId="433D47CA" w:rsidR="000654CE" w:rsidRDefault="00000000">
      <w:pPr>
        <w:pStyle w:val="Heading2"/>
        <w:shd w:val="clear" w:color="auto" w:fill="BDD6EE" w:themeFill="accent1" w:themeFillTint="66"/>
        <w:spacing w:before="120" w:after="120" w:line="276" w:lineRule="auto"/>
        <w:ind w:left="720"/>
        <w:rPr>
          <w:rFonts w:ascii="Trebuchet MS" w:hAnsi="Trebuchet MS"/>
          <w:b/>
          <w:color w:val="auto"/>
          <w:sz w:val="22"/>
          <w:szCs w:val="22"/>
        </w:rPr>
      </w:pPr>
      <w:bookmarkStart w:id="33" w:name="_Toc149224628"/>
      <w:bookmarkStart w:id="34" w:name="_Toc144988185"/>
      <w:r>
        <w:rPr>
          <w:rFonts w:ascii="Trebuchet MS" w:hAnsi="Trebuchet MS"/>
          <w:b/>
          <w:color w:val="auto"/>
          <w:sz w:val="22"/>
          <w:szCs w:val="22"/>
        </w:rPr>
        <w:t>3.1.4 Principiul ”a nu prejudicia în mod semnificativ” - DNSH</w:t>
      </w:r>
      <w:bookmarkEnd w:id="33"/>
      <w:bookmarkEnd w:id="34"/>
    </w:p>
    <w:p w14:paraId="181F84AE"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În conformitate cu Regulamentul (UE) nr. 241/2021, </w:t>
      </w:r>
      <w:r>
        <w:rPr>
          <w:rFonts w:ascii="Trebuchet MS" w:hAnsi="Trebuchet MS"/>
          <w:b/>
          <w:sz w:val="22"/>
          <w:szCs w:val="22"/>
        </w:rPr>
        <w:t>principiul DNSH</w:t>
      </w:r>
      <w:r>
        <w:rPr>
          <w:rFonts w:ascii="Trebuchet MS" w:hAnsi="Trebuchet MS"/>
          <w:sz w:val="22"/>
          <w:szCs w:val="22"/>
        </w:rPr>
        <w:t xml:space="preserve"> trebuie interpretat în sensul articolului 17 din Regulamentul (UE) nr. 852/2020 privind taxonomia, care definește noțiunea de „prejudiciere în mod semnificativ” pentru cele șase obiective de mediu vizate:</w:t>
      </w:r>
    </w:p>
    <w:p w14:paraId="0C31D6DD"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1. Se consideră că o activitate prejudiciază în mod semnificativ atenuarea schimbărilor climatice în cazul în care activitatea respectivă generează emisii semnificative de gaze cu efect de seră (GES);</w:t>
      </w:r>
    </w:p>
    <w:p w14:paraId="6F0C92FB"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506F97F3"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64252D5A"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0149BB01"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5. Se consideră că o activitate prejudiciază în mod semnificativ prevenirea și controlul poluării în cazul în care activitatea respectivă duce la o creștere semnificativă a emisiilor de poluanți în aer, apă sau sol;</w:t>
      </w:r>
    </w:p>
    <w:p w14:paraId="0497B8A9"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B93CDB6" w14:textId="18555D11"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Beneficiarii proiectelor selectate de Comisia Europeană pentru finanțare din PNRR se vor asigura de respectarea principiului DNSH și vor completa acest angajament în Declarația </w:t>
      </w:r>
      <w:r w:rsidR="00A806E8">
        <w:rPr>
          <w:rFonts w:ascii="Trebuchet MS" w:hAnsi="Trebuchet MS"/>
          <w:sz w:val="22"/>
          <w:szCs w:val="22"/>
        </w:rPr>
        <w:t>privind respectarea principiului DNSH</w:t>
      </w:r>
      <w:r>
        <w:rPr>
          <w:rFonts w:ascii="Trebuchet MS" w:hAnsi="Trebuchet MS"/>
          <w:sz w:val="22"/>
          <w:szCs w:val="22"/>
        </w:rPr>
        <w:t xml:space="preserve"> - </w:t>
      </w:r>
      <w:r w:rsidRPr="00A806E8">
        <w:rPr>
          <w:rFonts w:ascii="Trebuchet MS" w:hAnsi="Trebuchet MS"/>
          <w:sz w:val="22"/>
          <w:szCs w:val="22"/>
        </w:rPr>
        <w:t xml:space="preserve">Anexa </w:t>
      </w:r>
      <w:r w:rsidR="00D90FB0">
        <w:rPr>
          <w:rFonts w:ascii="Trebuchet MS" w:hAnsi="Trebuchet MS"/>
          <w:sz w:val="22"/>
          <w:szCs w:val="22"/>
        </w:rPr>
        <w:t>2</w:t>
      </w:r>
      <w:r w:rsidR="00A806E8" w:rsidRPr="00A806E8">
        <w:rPr>
          <w:rFonts w:ascii="Trebuchet MS" w:hAnsi="Trebuchet MS"/>
          <w:sz w:val="22"/>
          <w:szCs w:val="22"/>
        </w:rPr>
        <w:t>. Model F</w:t>
      </w:r>
      <w:r w:rsidRPr="00A806E8">
        <w:rPr>
          <w:rFonts w:ascii="Trebuchet MS" w:hAnsi="Trebuchet MS"/>
          <w:sz w:val="22"/>
          <w:szCs w:val="22"/>
        </w:rPr>
        <w:t xml:space="preserve"> la Cererea de finanțare</w:t>
      </w:r>
      <w:r>
        <w:rPr>
          <w:rFonts w:ascii="Trebuchet MS" w:hAnsi="Trebuchet MS"/>
          <w:sz w:val="22"/>
          <w:szCs w:val="22"/>
        </w:rPr>
        <w:t>.</w:t>
      </w:r>
    </w:p>
    <w:p w14:paraId="0047ABCD" w14:textId="77777777" w:rsidR="000654CE" w:rsidRDefault="000654CE">
      <w:pPr>
        <w:spacing w:before="120" w:after="120" w:line="276" w:lineRule="auto"/>
        <w:ind w:left="990"/>
        <w:jc w:val="both"/>
        <w:rPr>
          <w:rFonts w:ascii="Trebuchet MS" w:hAnsi="Trebuchet MS"/>
          <w:sz w:val="22"/>
          <w:szCs w:val="22"/>
        </w:rPr>
      </w:pPr>
    </w:p>
    <w:p w14:paraId="5896822E" w14:textId="46933E35" w:rsidR="000654CE" w:rsidRDefault="00000000">
      <w:pPr>
        <w:pStyle w:val="Heading2"/>
        <w:shd w:val="clear" w:color="auto" w:fill="BDD6EE" w:themeFill="accent1" w:themeFillTint="66"/>
        <w:spacing w:before="120" w:after="120" w:line="276" w:lineRule="auto"/>
        <w:ind w:left="720"/>
        <w:rPr>
          <w:rFonts w:ascii="Trebuchet MS" w:hAnsi="Trebuchet MS"/>
          <w:b/>
          <w:color w:val="auto"/>
          <w:sz w:val="22"/>
          <w:szCs w:val="22"/>
        </w:rPr>
      </w:pPr>
      <w:bookmarkStart w:id="35" w:name="_Toc144988186"/>
      <w:bookmarkStart w:id="36" w:name="_Toc149224629"/>
      <w:r>
        <w:rPr>
          <w:rFonts w:ascii="Trebuchet MS" w:hAnsi="Trebuchet MS"/>
          <w:b/>
          <w:color w:val="auto"/>
          <w:sz w:val="22"/>
          <w:szCs w:val="22"/>
        </w:rPr>
        <w:t>3.1.5 Evitarea conflictului de interese și a dublei finanțări</w:t>
      </w:r>
      <w:bookmarkEnd w:id="35"/>
      <w:bookmarkEnd w:id="36"/>
    </w:p>
    <w:p w14:paraId="0CBBB5D9" w14:textId="26E388A9"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În vederea </w:t>
      </w:r>
      <w:r>
        <w:rPr>
          <w:rFonts w:ascii="Trebuchet MS" w:hAnsi="Trebuchet MS"/>
          <w:b/>
          <w:sz w:val="22"/>
          <w:szCs w:val="22"/>
        </w:rPr>
        <w:t>evitării conflictului de interese</w:t>
      </w:r>
      <w:r>
        <w:rPr>
          <w:rFonts w:ascii="Trebuchet MS" w:hAnsi="Trebuchet MS"/>
          <w:sz w:val="22"/>
          <w:szCs w:val="22"/>
        </w:rPr>
        <w:t>, PD va prezenta declarația reprezentantului legal/împuternicitului potrivit căreiava lua toate măsurile necesare pentru prevenirea neregulilor grave (conflict de interese, fraudă, corupție), atât în faza de contractare a proiectului propus spre finanțare din PNRR, în perioada de implementare cât și în perioada de durabilitate a acestuia, în conformitate cu prevederile legale naționale și europene incidente;</w:t>
      </w:r>
    </w:p>
    <w:p w14:paraId="7632B65F" w14:textId="1A39C4F9" w:rsidR="000654CE" w:rsidRDefault="00000000">
      <w:pPr>
        <w:pStyle w:val="ListParagraph"/>
        <w:numPr>
          <w:ilvl w:val="0"/>
          <w:numId w:val="3"/>
        </w:numPr>
        <w:tabs>
          <w:tab w:val="left" w:pos="1350"/>
        </w:tabs>
        <w:spacing w:before="120" w:after="120" w:line="276" w:lineRule="auto"/>
        <w:ind w:left="990" w:firstLine="0"/>
        <w:jc w:val="both"/>
        <w:rPr>
          <w:rFonts w:ascii="Trebuchet MS" w:hAnsi="Trebuchet MS"/>
          <w:sz w:val="22"/>
          <w:szCs w:val="22"/>
        </w:rPr>
      </w:pPr>
      <w:r>
        <w:rPr>
          <w:rFonts w:ascii="Trebuchet MS" w:hAnsi="Trebuchet MS"/>
          <w:sz w:val="22"/>
          <w:szCs w:val="22"/>
        </w:rPr>
        <w:t xml:space="preserve">Potrivit art. 9 din Regulamentul UE nr. 241/2021, reformele și proiectele de investiții pot beneficia de sprijin din partea altor programe și instrumente ale Uniunii, cu condiția ca acest sprijin să nu acopere aceleași costuri. Astfel, pentru a asigura respectarea </w:t>
      </w:r>
      <w:r>
        <w:rPr>
          <w:rFonts w:ascii="Trebuchet MS" w:hAnsi="Trebuchet MS"/>
          <w:b/>
          <w:sz w:val="22"/>
          <w:szCs w:val="22"/>
        </w:rPr>
        <w:t>principiului evitării dublei finanțări</w:t>
      </w:r>
      <w:r>
        <w:rPr>
          <w:rFonts w:ascii="Trebuchet MS" w:hAnsi="Trebuchet MS"/>
          <w:sz w:val="22"/>
          <w:szCs w:val="22"/>
        </w:rPr>
        <w:t xml:space="preserve">, beneficiarii vor prezenta declarații pe proprie răspundere că activitățile specifice ale proiectului nu mai fac obiectul unei alte finanțări europene și nu au mai beneficiat în ultimii 5 ani de sprijin financiar pentru aceleași costuri și vor completa </w:t>
      </w:r>
      <w:r w:rsidRPr="00C77226">
        <w:rPr>
          <w:rFonts w:ascii="Trebuchet MS" w:hAnsi="Trebuchet MS"/>
          <w:sz w:val="22"/>
          <w:szCs w:val="22"/>
        </w:rPr>
        <w:t>Declarația</w:t>
      </w:r>
      <w:r>
        <w:rPr>
          <w:rFonts w:ascii="Trebuchet MS" w:hAnsi="Trebuchet MS"/>
          <w:b/>
          <w:bCs/>
          <w:i/>
          <w:iCs/>
          <w:sz w:val="22"/>
          <w:szCs w:val="22"/>
        </w:rPr>
        <w:t xml:space="preserve"> </w:t>
      </w:r>
      <w:r w:rsidR="00723BEA" w:rsidRPr="00723BEA">
        <w:rPr>
          <w:rFonts w:ascii="Trebuchet MS" w:hAnsi="Trebuchet MS"/>
          <w:sz w:val="22"/>
          <w:szCs w:val="22"/>
        </w:rPr>
        <w:t>privind evitarea conflict</w:t>
      </w:r>
      <w:r w:rsidR="00214E44">
        <w:rPr>
          <w:rFonts w:ascii="Trebuchet MS" w:hAnsi="Trebuchet MS"/>
          <w:sz w:val="22"/>
          <w:szCs w:val="22"/>
        </w:rPr>
        <w:t>e</w:t>
      </w:r>
      <w:r w:rsidR="00723BEA" w:rsidRPr="00723BEA">
        <w:rPr>
          <w:rFonts w:ascii="Trebuchet MS" w:hAnsi="Trebuchet MS"/>
          <w:sz w:val="22"/>
          <w:szCs w:val="22"/>
        </w:rPr>
        <w:t xml:space="preserve">lor de interese, a fraudei, corupției și a dublei finanțări – Anexa </w:t>
      </w:r>
      <w:r w:rsidR="00A33C42">
        <w:rPr>
          <w:rFonts w:ascii="Trebuchet MS" w:hAnsi="Trebuchet MS"/>
          <w:sz w:val="22"/>
          <w:szCs w:val="22"/>
        </w:rPr>
        <w:t>2</w:t>
      </w:r>
      <w:r w:rsidR="00723BEA" w:rsidRPr="00723BEA">
        <w:rPr>
          <w:rFonts w:ascii="Trebuchet MS" w:hAnsi="Trebuchet MS"/>
          <w:sz w:val="22"/>
          <w:szCs w:val="22"/>
        </w:rPr>
        <w:t>.</w:t>
      </w:r>
      <w:r w:rsidR="00C72072">
        <w:rPr>
          <w:rFonts w:ascii="Trebuchet MS" w:hAnsi="Trebuchet MS"/>
          <w:sz w:val="22"/>
          <w:szCs w:val="22"/>
        </w:rPr>
        <w:t xml:space="preserve"> </w:t>
      </w:r>
      <w:r w:rsidR="00723BEA" w:rsidRPr="00723BEA">
        <w:rPr>
          <w:rFonts w:ascii="Trebuchet MS" w:hAnsi="Trebuchet MS"/>
          <w:sz w:val="22"/>
          <w:szCs w:val="22"/>
        </w:rPr>
        <w:t>Model E</w:t>
      </w:r>
      <w:r>
        <w:rPr>
          <w:rFonts w:ascii="Trebuchet MS" w:hAnsi="Trebuchet MS"/>
          <w:b/>
          <w:bCs/>
          <w:i/>
          <w:iCs/>
          <w:sz w:val="22"/>
          <w:szCs w:val="22"/>
        </w:rPr>
        <w:t>.</w:t>
      </w:r>
    </w:p>
    <w:p w14:paraId="128B4690" w14:textId="65864316" w:rsidR="000654CE" w:rsidRDefault="0046027D">
      <w:pPr>
        <w:spacing w:before="120" w:after="120" w:line="276" w:lineRule="auto"/>
        <w:ind w:left="990"/>
        <w:jc w:val="both"/>
        <w:rPr>
          <w:rFonts w:ascii="Trebuchet MS" w:hAnsi="Trebuchet MS"/>
          <w:sz w:val="22"/>
          <w:szCs w:val="22"/>
        </w:rPr>
      </w:pPr>
      <w:r>
        <w:rPr>
          <w:rFonts w:ascii="Trebuchet MS" w:hAnsi="Trebuchet MS"/>
          <w:sz w:val="22"/>
          <w:szCs w:val="22"/>
        </w:rPr>
        <w:t>În cazul nerespectării condițiilor menționate anterior sunt incidente prevederile OUG nr. 70/2022. În acest context vor fi verificate și procedurile de achiziție publică derulate de beneficiari, după semnarea contractul de finanțare conform aceluiași act normativ.</w:t>
      </w:r>
    </w:p>
    <w:p w14:paraId="28C95CB6"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În desfășurarea acțiunilor de verificare a procedurilor de achiziție publică, MEAT verifică ex-post procedurile de achiziție desfășurate de beneficiarii selectați pentru finanțare din PNRR.</w:t>
      </w:r>
    </w:p>
    <w:p w14:paraId="4FF68669" w14:textId="6AC88525"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În situația unei suspiciuni de neregulă constatată ca urmare a verificării procedurilor de achiziție publică, MEAT sesizează MIPE în vederea efectuării verificărilor. În situația confirmării neregulilor ca urmare a verificărilor, MIPE sesizează Curtea de Conturi a României în vederea stabilirii contravențiilor și aplicării sancțiunilor.</w:t>
      </w:r>
    </w:p>
    <w:p w14:paraId="3F8F513F" w14:textId="29A8DAB3"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Ca urmare a verificărilor realizate,PD notifică MEAT asupra celor constatate, în situația în care se depistează nereguli privind aplicarea procedurilor de achiziție publică, iar MEAT pune în aplicare măsurile stabilite de Curtea de Conturi.</w:t>
      </w:r>
    </w:p>
    <w:p w14:paraId="5B5FDB7C" w14:textId="546358A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Beneficiarii își asumă prin </w:t>
      </w:r>
      <w:r w:rsidRPr="00C72072">
        <w:rPr>
          <w:rFonts w:ascii="Trebuchet MS" w:hAnsi="Trebuchet MS"/>
          <w:i/>
          <w:iCs/>
          <w:sz w:val="22"/>
          <w:szCs w:val="22"/>
        </w:rPr>
        <w:t>Declarația</w:t>
      </w:r>
      <w:r w:rsidR="00214E44" w:rsidRPr="00C72072">
        <w:rPr>
          <w:rFonts w:ascii="Trebuchet MS" w:hAnsi="Trebuchet MS"/>
          <w:i/>
          <w:iCs/>
          <w:sz w:val="22"/>
          <w:szCs w:val="22"/>
        </w:rPr>
        <w:t xml:space="preserve"> de angajament </w:t>
      </w:r>
      <w:r w:rsidR="00C62B75" w:rsidRPr="00C72072">
        <w:rPr>
          <w:rFonts w:ascii="Trebuchet MS" w:hAnsi="Trebuchet MS"/>
          <w:i/>
          <w:iCs/>
          <w:sz w:val="22"/>
          <w:szCs w:val="22"/>
        </w:rPr>
        <w:t>–</w:t>
      </w:r>
      <w:r w:rsidRPr="00C72072">
        <w:rPr>
          <w:rFonts w:ascii="Trebuchet MS" w:hAnsi="Trebuchet MS"/>
          <w:i/>
          <w:iCs/>
          <w:sz w:val="22"/>
          <w:szCs w:val="22"/>
        </w:rPr>
        <w:t xml:space="preserve"> Anexa</w:t>
      </w:r>
      <w:r w:rsidR="00C62B75" w:rsidRPr="00C72072">
        <w:rPr>
          <w:rFonts w:ascii="Trebuchet MS" w:hAnsi="Trebuchet MS"/>
          <w:i/>
          <w:iCs/>
          <w:sz w:val="22"/>
          <w:szCs w:val="22"/>
        </w:rPr>
        <w:t xml:space="preserve"> </w:t>
      </w:r>
      <w:r w:rsidR="00A33C42" w:rsidRPr="00C72072">
        <w:rPr>
          <w:rFonts w:ascii="Trebuchet MS" w:hAnsi="Trebuchet MS"/>
          <w:i/>
          <w:iCs/>
          <w:sz w:val="22"/>
          <w:szCs w:val="22"/>
        </w:rPr>
        <w:t>2</w:t>
      </w:r>
      <w:r w:rsidR="00C62B75" w:rsidRPr="00C72072">
        <w:rPr>
          <w:rFonts w:ascii="Trebuchet MS" w:hAnsi="Trebuchet MS"/>
          <w:i/>
          <w:iCs/>
          <w:sz w:val="22"/>
          <w:szCs w:val="22"/>
        </w:rPr>
        <w:t>. Model A</w:t>
      </w:r>
      <w:r>
        <w:rPr>
          <w:rFonts w:ascii="Trebuchet MS" w:hAnsi="Trebuchet MS"/>
          <w:b/>
          <w:bCs/>
          <w:i/>
          <w:iCs/>
          <w:sz w:val="22"/>
          <w:szCs w:val="22"/>
        </w:rPr>
        <w:t xml:space="preserve"> </w:t>
      </w:r>
      <w:r>
        <w:rPr>
          <w:rFonts w:ascii="Trebuchet MS" w:hAnsi="Trebuchet MS"/>
          <w:sz w:val="22"/>
          <w:szCs w:val="22"/>
        </w:rPr>
        <w:t xml:space="preserve">depusă odată cu documentația aferentă proiectului respectarea </w:t>
      </w:r>
      <w:bookmarkStart w:id="37" w:name="_Hlk149118632"/>
      <w:r>
        <w:rPr>
          <w:rFonts w:ascii="Trebuchet MS" w:hAnsi="Trebuchet MS"/>
          <w:sz w:val="22"/>
          <w:szCs w:val="22"/>
        </w:rPr>
        <w:t>prevederilor și principiilor care guvernează achizițiile pentru atribuirea contractelor de furnizare de produse, prestare de servicii, execuție de lucrări finanțate din fondurile externe nerambursabile și rambursabile aferente Mecanismului de Redresare și Reziliență.</w:t>
      </w:r>
      <w:bookmarkEnd w:id="37"/>
      <w:r>
        <w:rPr>
          <w:rFonts w:ascii="Trebuchet MS" w:hAnsi="Trebuchet MS"/>
          <w:sz w:val="22"/>
          <w:szCs w:val="22"/>
        </w:rPr>
        <w:t xml:space="preserve"> În temeiul art. 22 din Regulamentul (UE) nr. 241/2021, MIPE va întreprinde verificări în vederea identificării </w:t>
      </w:r>
      <w:r w:rsidR="00224A53">
        <w:rPr>
          <w:rFonts w:ascii="Trebuchet MS" w:hAnsi="Trebuchet MS"/>
          <w:sz w:val="22"/>
          <w:szCs w:val="22"/>
        </w:rPr>
        <w:t xml:space="preserve">beneficiarilor reali de fonduri din PNRR </w:t>
      </w:r>
      <w:r>
        <w:rPr>
          <w:rFonts w:ascii="Trebuchet MS" w:hAnsi="Trebuchet MS"/>
          <w:sz w:val="22"/>
          <w:szCs w:val="22"/>
        </w:rPr>
        <w:t>și raportării</w:t>
      </w:r>
      <w:r w:rsidR="00224A53">
        <w:rPr>
          <w:rFonts w:ascii="Trebuchet MS" w:hAnsi="Trebuchet MS"/>
          <w:sz w:val="22"/>
          <w:szCs w:val="22"/>
        </w:rPr>
        <w:t xml:space="preserve"> acestora în sistemul informatic de gestiune a PNRR, </w:t>
      </w:r>
      <w:r>
        <w:rPr>
          <w:rFonts w:ascii="Trebuchet MS" w:hAnsi="Trebuchet MS"/>
          <w:sz w:val="22"/>
          <w:szCs w:val="22"/>
        </w:rPr>
        <w:t xml:space="preserve">solicitând beneficiarilor să </w:t>
      </w:r>
      <w:r w:rsidR="00C62B75">
        <w:rPr>
          <w:rFonts w:ascii="Trebuchet MS" w:hAnsi="Trebuchet MS"/>
          <w:sz w:val="22"/>
          <w:szCs w:val="22"/>
        </w:rPr>
        <w:t xml:space="preserve">transmită certificatul ONRC la depunerea cererii de finanțare. </w:t>
      </w:r>
      <w:bookmarkStart w:id="38" w:name="_Hlk147758964"/>
      <w:bookmarkEnd w:id="38"/>
    </w:p>
    <w:p w14:paraId="09EAE79A" w14:textId="024CECAB" w:rsidR="000654CE" w:rsidRDefault="00000000">
      <w:pPr>
        <w:pStyle w:val="Heading2"/>
        <w:shd w:val="clear" w:color="auto" w:fill="BDD6EE" w:themeFill="accent1" w:themeFillTint="66"/>
        <w:spacing w:before="120" w:after="120" w:line="276" w:lineRule="auto"/>
        <w:ind w:left="720"/>
        <w:rPr>
          <w:rFonts w:ascii="Trebuchet MS" w:hAnsi="Trebuchet MS"/>
          <w:sz w:val="22"/>
          <w:szCs w:val="22"/>
        </w:rPr>
      </w:pPr>
      <w:bookmarkStart w:id="39" w:name="_Toc149224630"/>
      <w:r>
        <w:rPr>
          <w:rFonts w:ascii="Trebuchet MS" w:hAnsi="Trebuchet MS"/>
          <w:b/>
          <w:color w:val="auto"/>
          <w:sz w:val="22"/>
          <w:szCs w:val="22"/>
        </w:rPr>
        <w:t>3</w:t>
      </w:r>
      <w:bookmarkStart w:id="40" w:name="_Toc144988187"/>
      <w:r>
        <w:rPr>
          <w:rFonts w:ascii="Trebuchet MS" w:hAnsi="Trebuchet MS"/>
          <w:b/>
          <w:color w:val="auto"/>
          <w:sz w:val="22"/>
          <w:szCs w:val="22"/>
        </w:rPr>
        <w:t>.1.6 Asigurarea vizibilității fondurilor din partea Uniunii Europene</w:t>
      </w:r>
      <w:bookmarkEnd w:id="39"/>
      <w:bookmarkEnd w:id="40"/>
    </w:p>
    <w:p w14:paraId="13C3C335" w14:textId="77777777" w:rsidR="000654CE" w:rsidRDefault="00000000">
      <w:pPr>
        <w:spacing w:before="120" w:after="120" w:line="276" w:lineRule="auto"/>
        <w:ind w:left="900"/>
        <w:jc w:val="both"/>
        <w:rPr>
          <w:rFonts w:ascii="Trebuchet MS" w:hAnsi="Trebuchet MS"/>
          <w:sz w:val="22"/>
          <w:szCs w:val="22"/>
        </w:rPr>
      </w:pPr>
      <w:r>
        <w:rPr>
          <w:rFonts w:ascii="Trebuchet MS" w:hAnsi="Trebuchet MS"/>
          <w:sz w:val="22"/>
          <w:szCs w:val="22"/>
        </w:rPr>
        <w:t xml:space="preserve">Beneficiarii sunt responsabili de îndeplinirea obligațiilor cu privire la măsurile legate de vizibilitatea fondurilor din partea Uniunii Europene, inclusiv atunci când este cazul, afișând emblema Uniunii Europene și o declarație de finanțare corespunzătoare cu următorul conținut: </w:t>
      </w:r>
      <w:r>
        <w:rPr>
          <w:rFonts w:ascii="Trebuchet MS" w:hAnsi="Trebuchet MS"/>
          <w:i/>
          <w:iCs/>
          <w:sz w:val="22"/>
          <w:szCs w:val="22"/>
        </w:rPr>
        <w:t>„Proiect finanțat de Uniunea Europeană-NextGenerationEU”</w:t>
      </w:r>
      <w:r>
        <w:rPr>
          <w:rFonts w:ascii="Trebuchet MS" w:hAnsi="Trebuchet MS"/>
          <w:sz w:val="22"/>
          <w:szCs w:val="22"/>
        </w:rPr>
        <w:t>, precum și prin oferirea de informații specifice coerente, concrete și proporționale, cu respectarea prevederilor Manualului de identitate vizuală a PNRR elaborat de Ministerul Investițiilor și Proiectelor Europene și disponibil la următorul link:</w:t>
      </w:r>
    </w:p>
    <w:p w14:paraId="58248DF0" w14:textId="77777777" w:rsidR="000654CE" w:rsidRDefault="00000000">
      <w:pPr>
        <w:spacing w:before="120" w:after="120" w:line="276" w:lineRule="auto"/>
        <w:ind w:left="900"/>
        <w:jc w:val="both"/>
        <w:rPr>
          <w:rFonts w:ascii="Trebuchet MS" w:hAnsi="Trebuchet MS"/>
          <w:sz w:val="22"/>
          <w:szCs w:val="22"/>
        </w:rPr>
      </w:pPr>
      <w:r>
        <w:rPr>
          <w:rFonts w:ascii="Trebuchet MS" w:hAnsi="Trebuchet MS"/>
          <w:sz w:val="22"/>
          <w:szCs w:val="22"/>
        </w:rPr>
        <w:t xml:space="preserve"> </w:t>
      </w:r>
      <w:hyperlink r:id="rId11">
        <w:r>
          <w:rPr>
            <w:rStyle w:val="Hyperlink"/>
            <w:rFonts w:ascii="Trebuchet MS" w:hAnsi="Trebuchet MS"/>
            <w:sz w:val="22"/>
            <w:szCs w:val="22"/>
          </w:rPr>
          <w:t>https://mfe.gov.ro/wp-content/uploads/2022/07/07054c8608efd34d8e14c5709a1a4b47.pdf</w:t>
        </w:r>
      </w:hyperlink>
      <w:r>
        <w:rPr>
          <w:rFonts w:ascii="Trebuchet MS" w:hAnsi="Trebuchet MS"/>
          <w:sz w:val="22"/>
          <w:szCs w:val="22"/>
        </w:rPr>
        <w:t xml:space="preserve"> </w:t>
      </w:r>
    </w:p>
    <w:p w14:paraId="0D66072F"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Acceptarea finanțării conduce la acceptarea de către beneficiar, pentru toate materialele de informare și comunicare, a prevederilor Manualului de identitate vizuală a PNRR. Beneficiarii sunt responsabili pentru informarea publicului despre proiectul derulat cu finanțare din PNRR.</w:t>
      </w:r>
    </w:p>
    <w:p w14:paraId="1E2E4522"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b/>
          <w:bCs/>
          <w:sz w:val="22"/>
          <w:szCs w:val="22"/>
        </w:rPr>
        <w:t>Cheltuielile cu activitățile de informare și publicitate</w:t>
      </w:r>
      <w:r>
        <w:rPr>
          <w:rFonts w:ascii="Trebuchet MS" w:hAnsi="Trebuchet MS"/>
          <w:sz w:val="22"/>
          <w:szCs w:val="22"/>
        </w:rPr>
        <w:t xml:space="preserve">, care derivă exclusiv din Manualul de identitate vizuală privind operațiunile finanțate din Mecanismul de Rederesare și Reziliență definite în conformitate cu prevederile art. 34 din Regulamentul (UE) 2021/241 de instituire a Mecanismului de Rederesare și Reziliență, cu modificările și completările ulterioare, </w:t>
      </w:r>
      <w:r>
        <w:rPr>
          <w:rFonts w:ascii="Trebuchet MS" w:hAnsi="Trebuchet MS"/>
          <w:b/>
          <w:bCs/>
          <w:sz w:val="22"/>
          <w:szCs w:val="22"/>
        </w:rPr>
        <w:t>sunt obligatorii și vor fi suportate de beneficiar</w:t>
      </w:r>
      <w:r>
        <w:rPr>
          <w:rFonts w:ascii="Trebuchet MS" w:hAnsi="Trebuchet MS"/>
          <w:sz w:val="22"/>
          <w:szCs w:val="22"/>
        </w:rPr>
        <w:t>.</w:t>
      </w:r>
    </w:p>
    <w:p w14:paraId="701EDF86"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În stabilirea termenelor din calendarul proiectului, solicitanții vor avea în vedere respectarea termenului de finalizare a implementării proiectelor, fără a depăși termenul maxim de 31 decembrie 2028.</w:t>
      </w:r>
    </w:p>
    <w:p w14:paraId="6B71FE08" w14:textId="71D0F5C2" w:rsidR="000654CE" w:rsidRDefault="00000000">
      <w:pPr>
        <w:pStyle w:val="Heading3"/>
        <w:shd w:val="clear" w:color="auto" w:fill="BDD6EE" w:themeFill="accent1" w:themeFillTint="66"/>
        <w:spacing w:before="120" w:after="120" w:line="276" w:lineRule="auto"/>
        <w:ind w:left="990" w:hanging="360"/>
        <w:rPr>
          <w:rFonts w:ascii="Trebuchet MS" w:hAnsi="Trebuchet MS"/>
          <w:b/>
          <w:color w:val="auto"/>
          <w:sz w:val="22"/>
          <w:szCs w:val="22"/>
        </w:rPr>
      </w:pPr>
      <w:bookmarkStart w:id="41" w:name="_Toc149224631"/>
      <w:r>
        <w:rPr>
          <w:rFonts w:ascii="Trebuchet MS" w:hAnsi="Trebuchet MS"/>
          <w:b/>
          <w:color w:val="auto"/>
          <w:sz w:val="22"/>
          <w:szCs w:val="22"/>
        </w:rPr>
        <w:t>3</w:t>
      </w:r>
      <w:bookmarkStart w:id="42" w:name="_Toc144988188"/>
      <w:r>
        <w:rPr>
          <w:rFonts w:ascii="Trebuchet MS" w:hAnsi="Trebuchet MS"/>
          <w:b/>
          <w:color w:val="auto"/>
          <w:sz w:val="22"/>
          <w:szCs w:val="22"/>
        </w:rPr>
        <w:t>.2 Aprobarea proiectelor</w:t>
      </w:r>
      <w:bookmarkEnd w:id="41"/>
      <w:bookmarkEnd w:id="42"/>
    </w:p>
    <w:p w14:paraId="0F2B578B" w14:textId="3D9D37B5" w:rsidR="000654CE" w:rsidRDefault="00AE669B">
      <w:pPr>
        <w:spacing w:before="120" w:after="120" w:line="276" w:lineRule="auto"/>
        <w:ind w:left="990"/>
        <w:jc w:val="both"/>
        <w:rPr>
          <w:rFonts w:ascii="Trebuchet MS" w:hAnsi="Trebuchet MS"/>
          <w:sz w:val="22"/>
          <w:szCs w:val="22"/>
        </w:rPr>
      </w:pPr>
      <w:r>
        <w:rPr>
          <w:rFonts w:ascii="Trebuchet MS" w:hAnsi="Trebuchet MS"/>
          <w:sz w:val="22"/>
          <w:szCs w:val="22"/>
        </w:rPr>
        <w:t>Proiectele participanților direcți selectați de Comisia Europeană să facă parte din PIIEC parcurg doar un proces de contractare, în care se fac minime verificări privind capacitatea administrativă și eligibilitatea beneficiarului, conform prevederilor art. 7 din HG nr. 856/2022, în etapa  depunerii cererii de finanțare, dar și în ceea ce privește conformitatea documentației tehnico – financiare cu documentația notificată Comisiei Europene, în urma căreia proiectele au fost selectate pentru finanțare din PNRR.</w:t>
      </w:r>
    </w:p>
    <w:p w14:paraId="0CCA32DC"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Documentele privitoare la capacitatea administrativă și eligibilitatea beneficiarului sunt solicitate în vederea asigurării îndeplinirii condițiilor de eligibilitate prevăzute la art. 7 din HG nr. 856/2022 la momentul depunerii cererii de finanțare față de momentul preselecției realizate de MEAT.</w:t>
      </w:r>
    </w:p>
    <w:p w14:paraId="440DE0B6" w14:textId="61F351FA"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Documentele privitoare la propunerea tehnică – financiară solicitate sunt documentele care au fost notificate Comisiei Europene conform cerințelor din Comunicarea Comisiei - Criterii pentru analiza compatibilităţii cu piaţa internă a ajutorului de stat destinat să promoveze realizarea unor proiecte importante de interes european comun (2021/C528/02) în vederea selectării proiectului beneficiarului să facă parte din PIIEC, verificate pentru conformitate.</w:t>
      </w:r>
    </w:p>
    <w:p w14:paraId="63728832" w14:textId="4010F80A"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Verificarea cererii de finanțare și a documentelor aferente acesteia va fi realizată de MIPE, în colaborare cu MEAT și se va desfășura într-o perioadă de timp de până la 30 de zile lucrătoare de la data depunerii cererii de finanțare</w:t>
      </w:r>
      <w:r>
        <w:rPr>
          <w:rFonts w:ascii="Trebuchet MS" w:hAnsi="Trebuchet MS"/>
          <w:bCs/>
          <w:sz w:val="22"/>
          <w:szCs w:val="22"/>
        </w:rPr>
        <w:t>.</w:t>
      </w:r>
    </w:p>
    <w:p w14:paraId="3BDFDD73"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În considerarea perioadei de 30 de zile lucrătoare se are în vedere faptul că documentele transmise de beneficiar sunt complete și detaliate, cu toate informațiile solicitate prin prezentul ghid. Această perioadă se poate extinde în funcție de necesitatea de clarificări. În acest caz, termenul prevăzut se va prelungi cu perioada cuprinsă între data solicitării de clarificări și data transmiterii răspunsului complet și corect de către beneficiar, dar care nu va depăși un număr maxim de 5 zile lucrătoare.</w:t>
      </w:r>
    </w:p>
    <w:p w14:paraId="163F6537" w14:textId="660874C4"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După parcurgerea listei de verificare și a răspunsului la eventuale clarificări, finalizarea verificării va conduce la o concluzie, prin alegerea uneia dintre cele trei variante enunțate mai jos:</w:t>
      </w:r>
    </w:p>
    <w:p w14:paraId="191A99B1"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a) se propune semnarea contractului de finanțare, caz în care se va transmite beneficiarului o Notificare de acceptare la finanțare a proiectului;</w:t>
      </w:r>
    </w:p>
    <w:p w14:paraId="2C86E34F" w14:textId="0992C411"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b) în cazul în care proiectul nu îndeplinește criterii obligatorii pentru aprobarea spre finanțare, se va întocmi o </w:t>
      </w:r>
      <w:r w:rsidR="00D90FB0">
        <w:rPr>
          <w:rFonts w:ascii="Trebuchet MS" w:hAnsi="Trebuchet MS"/>
          <w:sz w:val="22"/>
          <w:szCs w:val="22"/>
        </w:rPr>
        <w:t xml:space="preserve">notificare </w:t>
      </w:r>
      <w:r>
        <w:rPr>
          <w:rFonts w:ascii="Trebuchet MS" w:hAnsi="Trebuchet MS"/>
          <w:sz w:val="22"/>
          <w:szCs w:val="22"/>
        </w:rPr>
        <w:t>de respingere a proiectului, care se transmite beneficiarului în format electronic și fax/curier.</w:t>
      </w:r>
    </w:p>
    <w:p w14:paraId="4DCB1687"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Notificările și, dacă este cazul, solicitarea de clarificări/clarificările se transmit prin intermediul sistemului informatic PNRR (proiecte.pnrr.gov.ro). Comunicarea offline se va utiliza doar în cazul în care sistemul informatic nu funcționează.</w:t>
      </w:r>
    </w:p>
    <w:p w14:paraId="032C282A"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După primirea răspunsului la clarificările solicitate în termenul precizat de MIPE/MEAT, se reia procesul de verificare prin aplicarea listei de verificare  care, de asemenea, se finalizează cu una din concluziile sus menționate. </w:t>
      </w:r>
    </w:p>
    <w:p w14:paraId="500D950B" w14:textId="4B86FB88"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In economia calendarului de contractare a proiectului, perioada scursă între data elaborării adresei de întrerupere și data primirii de către MIPE/MEAT a răspunsului complet și corect de la beneficiar interupe termenul de </w:t>
      </w:r>
      <w:r w:rsidR="00C272CD">
        <w:rPr>
          <w:rFonts w:ascii="Trebuchet MS" w:hAnsi="Trebuchet MS"/>
          <w:sz w:val="22"/>
          <w:szCs w:val="22"/>
        </w:rPr>
        <w:t>verificare</w:t>
      </w:r>
      <w:r>
        <w:rPr>
          <w:rFonts w:ascii="Trebuchet MS" w:hAnsi="Trebuchet MS"/>
          <w:sz w:val="22"/>
          <w:szCs w:val="22"/>
        </w:rPr>
        <w:t>.</w:t>
      </w:r>
    </w:p>
    <w:p w14:paraId="341BB345"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Semnarea contractelor de finanțare se va realiza în funcție de ordinea cronologică a aprobării listelor de verificare a proiectelor.</w:t>
      </w:r>
    </w:p>
    <w:p w14:paraId="25B93A9B"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PD poate să solicite MIPE/MEAT retragerea de la finanțare a unui proiect depus, pe tot parcursul perioadei cuprinse între data depunerii fișei de proiect și a documentelor aferente și data semnării contractului de finanțare.</w:t>
      </w:r>
    </w:p>
    <w:p w14:paraId="4E0A0C4C"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MIPE/MEAT, luând la cunoștință solicitarea PD, va transmite acestuia o adresă de confirmare a retragerii de la finanțare a proiectului respectiv.</w:t>
      </w:r>
    </w:p>
    <w:p w14:paraId="72869E17" w14:textId="146C79D5" w:rsidR="000654CE" w:rsidRDefault="00000000">
      <w:pPr>
        <w:pStyle w:val="Heading3"/>
        <w:shd w:val="clear" w:color="auto" w:fill="BDD6EE" w:themeFill="accent1" w:themeFillTint="66"/>
        <w:spacing w:before="120" w:after="120" w:line="276" w:lineRule="auto"/>
        <w:ind w:left="630"/>
        <w:rPr>
          <w:rFonts w:ascii="Trebuchet MS" w:hAnsi="Trebuchet MS"/>
          <w:b/>
          <w:color w:val="auto"/>
          <w:sz w:val="22"/>
          <w:szCs w:val="22"/>
        </w:rPr>
      </w:pPr>
      <w:bookmarkStart w:id="43" w:name="_Toc149224632"/>
      <w:r>
        <w:rPr>
          <w:rFonts w:ascii="Trebuchet MS" w:hAnsi="Trebuchet MS"/>
          <w:b/>
          <w:color w:val="auto"/>
          <w:sz w:val="22"/>
          <w:szCs w:val="22"/>
        </w:rPr>
        <w:t>3</w:t>
      </w:r>
      <w:bookmarkStart w:id="44" w:name="_Toc144988189"/>
      <w:r>
        <w:rPr>
          <w:rFonts w:ascii="Trebuchet MS" w:hAnsi="Trebuchet MS"/>
          <w:b/>
          <w:color w:val="auto"/>
          <w:sz w:val="22"/>
          <w:szCs w:val="22"/>
        </w:rPr>
        <w:t>.3 Depunerea contestațiilor</w:t>
      </w:r>
      <w:bookmarkEnd w:id="43"/>
      <w:bookmarkEnd w:id="44"/>
    </w:p>
    <w:p w14:paraId="316BDA6F"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Beneficiarii pot formula contestație împotriva Notificării de respingere a proiectului, care se depune la MIPE/MEAT în termen de 30 zile de la primirea notificării de respingere.</w:t>
      </w:r>
    </w:p>
    <w:p w14:paraId="11A79464"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Contestația trebuie să cuprindă datele de identificare ale contestatorului, ale actului contestat, motivele de fapt și de drept pe care își întemeiază demersul și semnătura reprezentantului legal/conventional. </w:t>
      </w:r>
    </w:p>
    <w:p w14:paraId="64F47F6A"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Soluționarea contestației constă în reperformarea verificărilor documentațiilor de către alte persoane desemnate de MIPE/MEAT, care nu au fost implicate în examinarea inițială a documentelor contractuale.</w:t>
      </w:r>
    </w:p>
    <w:p w14:paraId="12C90377"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În cazul în care contestația va fi admisă, în termen de 5 zile lucrătoare solicitantul va fi informat despre acest fapt, iar procesul de contractare se reia automat, respectându-se etapele și termenele prezentate în cele ce urmează.</w:t>
      </w:r>
    </w:p>
    <w:p w14:paraId="4496ACAB"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În cazul în care contestația se respinge, Decizia de soluționare a contestației cuprinzând motivele de fapt și de drept, va fi comunicată solicitantului, care va putea ataca Decizia la instanța judecătorească competentă, în condițiile Legii nr. 554/2004 a contenciosului administrativ. </w:t>
      </w:r>
    </w:p>
    <w:p w14:paraId="636AFE0D" w14:textId="56E4A94A" w:rsidR="000654CE" w:rsidRDefault="00000000">
      <w:pPr>
        <w:pStyle w:val="Heading3"/>
        <w:shd w:val="clear" w:color="auto" w:fill="BDD6EE" w:themeFill="accent1" w:themeFillTint="66"/>
        <w:spacing w:before="120" w:after="120" w:line="276" w:lineRule="auto"/>
        <w:ind w:left="990" w:hanging="360"/>
        <w:rPr>
          <w:rFonts w:ascii="Trebuchet MS" w:hAnsi="Trebuchet MS"/>
          <w:b/>
          <w:color w:val="auto"/>
          <w:sz w:val="22"/>
          <w:szCs w:val="22"/>
        </w:rPr>
      </w:pPr>
      <w:bookmarkStart w:id="45" w:name="_Toc149224633"/>
      <w:r>
        <w:rPr>
          <w:rFonts w:ascii="Trebuchet MS" w:hAnsi="Trebuchet MS"/>
          <w:b/>
          <w:color w:val="auto"/>
          <w:sz w:val="22"/>
          <w:szCs w:val="22"/>
        </w:rPr>
        <w:t>3</w:t>
      </w:r>
      <w:bookmarkStart w:id="46" w:name="_Toc144988190"/>
      <w:r>
        <w:rPr>
          <w:rFonts w:ascii="Trebuchet MS" w:hAnsi="Trebuchet MS"/>
          <w:b/>
          <w:color w:val="auto"/>
          <w:sz w:val="22"/>
          <w:szCs w:val="22"/>
        </w:rPr>
        <w:t>.4  Depunerea documentelor pentru contractare</w:t>
      </w:r>
      <w:bookmarkEnd w:id="45"/>
      <w:bookmarkEnd w:id="46"/>
    </w:p>
    <w:p w14:paraId="1AA12213" w14:textId="3423B0EA"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După aprobarea de către MIPE a listei de verificare, MIPE transmite solicitantului o notificare prin care solicită pregătirea și transmiterea următoarelor documente precontractuale:</w:t>
      </w:r>
    </w:p>
    <w:p w14:paraId="7D600F4D" w14:textId="77777777" w:rsidR="000654CE" w:rsidRDefault="00000000">
      <w:pPr>
        <w:pBdr>
          <w:left w:val="single" w:sz="4" w:space="1" w:color="000000"/>
        </w:pBdr>
        <w:spacing w:before="120" w:after="120" w:line="276" w:lineRule="auto"/>
        <w:ind w:left="990"/>
        <w:jc w:val="both"/>
        <w:rPr>
          <w:rFonts w:ascii="Trebuchet MS" w:hAnsi="Trebuchet MS"/>
          <w:sz w:val="22"/>
          <w:szCs w:val="22"/>
        </w:rPr>
      </w:pPr>
      <w:r>
        <w:rPr>
          <w:rFonts w:ascii="Trebuchet MS" w:hAnsi="Trebuchet MS"/>
          <w:sz w:val="22"/>
          <w:szCs w:val="22"/>
        </w:rPr>
        <w:t>1) Certificat de atestare fiscală, în original, privind îndeplinirea obligațiilor de plată la bugetul general consolidat eliberat de organul fiscal competent, în termenul de valabilitate care să ateste că solicitantul nu se încadrează din punct de vedere al obligațiilor restante la bugetele publice în situația în care obligațiile de plată nete depășesc 1/12 din totalul obligațiilor datorate în ultimele 12 luni, în cazul certificatului de atestare fiscală emis de Agenția Națională de Administrare Fiscală, conform Legii nr. 207/ 2015 privind Codul de procedură fiscală, cu modificările și completările ulterioare (Atenție: În certificatul de atestare fiscală, privind îndeplinirea obligațiilor de plată la bugetul general consolidat, trebuie să fie completată inclusiv Secțiunea C. Informații privind verificarea eligibilității contribuabililor pentru accesarea fondurilor nerambursabile);</w:t>
      </w:r>
    </w:p>
    <w:p w14:paraId="6937F262" w14:textId="77777777" w:rsidR="000654CE" w:rsidRDefault="00000000">
      <w:pPr>
        <w:pBdr>
          <w:left w:val="single" w:sz="4" w:space="1" w:color="000000"/>
        </w:pBdr>
        <w:spacing w:before="120" w:after="120" w:line="276" w:lineRule="auto"/>
        <w:ind w:left="990"/>
        <w:jc w:val="both"/>
        <w:rPr>
          <w:rFonts w:ascii="Trebuchet MS" w:hAnsi="Trebuchet MS"/>
          <w:sz w:val="22"/>
          <w:szCs w:val="22"/>
        </w:rPr>
      </w:pPr>
      <w:r>
        <w:rPr>
          <w:rFonts w:ascii="Trebuchet MS" w:hAnsi="Trebuchet MS"/>
          <w:sz w:val="22"/>
          <w:szCs w:val="22"/>
        </w:rPr>
        <w:t>2) Certificate de atestare fiscală, în original, privind îndeplinirea obligațiilor de plată către bugetele locale eliberate de Direcția de taxe și impozite locale, în original, pentru sediul social şi toate punctele de lucru menționate în certificatul constatator, în termenul de valabilitate care să ateste că solicitantul nu se încadrează din punct de vedere al obligațiilor restante la bugetele publice în situația în care obligațiile de plată depășesc 1/6 din totalul obligațiilor datorate în ultimul semestru, în cazul certificatului de atestare fiscală emis de autoritățile publice locale, conform Legii 207/2015 privind Codul de procedură fiscală, cu modificările şi completările ulterioare;</w:t>
      </w:r>
    </w:p>
    <w:p w14:paraId="225A8BB8" w14:textId="1D425D37" w:rsidR="000654CE" w:rsidRDefault="00000000">
      <w:pPr>
        <w:pBdr>
          <w:left w:val="single" w:sz="4" w:space="1" w:color="000000"/>
        </w:pBdr>
        <w:spacing w:before="120" w:after="120" w:line="276" w:lineRule="auto"/>
        <w:ind w:left="990"/>
        <w:jc w:val="both"/>
        <w:rPr>
          <w:rFonts w:ascii="Trebuchet MS" w:hAnsi="Trebuchet MS"/>
          <w:sz w:val="22"/>
          <w:szCs w:val="22"/>
        </w:rPr>
      </w:pPr>
      <w:r>
        <w:rPr>
          <w:rFonts w:ascii="Trebuchet MS" w:hAnsi="Trebuchet MS"/>
          <w:sz w:val="22"/>
          <w:szCs w:val="22"/>
        </w:rPr>
        <w:t>3) Certificat de cazier fiscal al solicitantului, în original, eliberat de organul fiscal competent, conform O</w:t>
      </w:r>
      <w:r w:rsidR="006E521F">
        <w:rPr>
          <w:rFonts w:ascii="Trebuchet MS" w:hAnsi="Trebuchet MS"/>
          <w:sz w:val="22"/>
          <w:szCs w:val="22"/>
        </w:rPr>
        <w:t>UG</w:t>
      </w:r>
      <w:r>
        <w:rPr>
          <w:rFonts w:ascii="Trebuchet MS" w:hAnsi="Trebuchet MS"/>
          <w:sz w:val="22"/>
          <w:szCs w:val="22"/>
        </w:rPr>
        <w:t xml:space="preserve"> nr. </w:t>
      </w:r>
      <w:r w:rsidR="006E521F">
        <w:rPr>
          <w:rFonts w:ascii="Trebuchet MS" w:hAnsi="Trebuchet MS"/>
          <w:sz w:val="22"/>
          <w:szCs w:val="22"/>
        </w:rPr>
        <w:t>39</w:t>
      </w:r>
      <w:r>
        <w:rPr>
          <w:rFonts w:ascii="Trebuchet MS" w:hAnsi="Trebuchet MS"/>
          <w:sz w:val="22"/>
          <w:szCs w:val="22"/>
        </w:rPr>
        <w:t>/201</w:t>
      </w:r>
      <w:r w:rsidR="006E521F">
        <w:rPr>
          <w:rFonts w:ascii="Trebuchet MS" w:hAnsi="Trebuchet MS"/>
          <w:sz w:val="22"/>
          <w:szCs w:val="22"/>
        </w:rPr>
        <w:t>5</w:t>
      </w:r>
      <w:r>
        <w:rPr>
          <w:rFonts w:ascii="Trebuchet MS" w:hAnsi="Trebuchet MS"/>
          <w:sz w:val="22"/>
          <w:szCs w:val="22"/>
        </w:rPr>
        <w:t xml:space="preserve"> privind </w:t>
      </w:r>
      <w:r w:rsidR="006E521F">
        <w:rPr>
          <w:rFonts w:ascii="Trebuchet MS" w:hAnsi="Trebuchet MS"/>
          <w:sz w:val="22"/>
          <w:szCs w:val="22"/>
        </w:rPr>
        <w:t>cazierul fiscal</w:t>
      </w:r>
      <w:r>
        <w:rPr>
          <w:rFonts w:ascii="Trebuchet MS" w:hAnsi="Trebuchet MS"/>
          <w:sz w:val="22"/>
          <w:szCs w:val="22"/>
        </w:rPr>
        <w:t>;</w:t>
      </w:r>
    </w:p>
    <w:p w14:paraId="7D80A22B" w14:textId="04ED205D" w:rsidR="000654CE" w:rsidRDefault="00000000">
      <w:pPr>
        <w:pBdr>
          <w:left w:val="single" w:sz="4" w:space="1" w:color="000000"/>
        </w:pBdr>
        <w:spacing w:before="120" w:after="120" w:line="276" w:lineRule="auto"/>
        <w:ind w:left="990"/>
        <w:jc w:val="both"/>
        <w:rPr>
          <w:rFonts w:ascii="Trebuchet MS" w:hAnsi="Trebuchet MS"/>
          <w:sz w:val="22"/>
          <w:szCs w:val="22"/>
        </w:rPr>
      </w:pPr>
      <w:r>
        <w:rPr>
          <w:rFonts w:ascii="Trebuchet MS" w:hAnsi="Trebuchet MS"/>
          <w:sz w:val="22"/>
          <w:szCs w:val="22"/>
        </w:rPr>
        <w:t>4) Certificat de cazier judiciar al reprezentantului legal al solicitantului (în original), conform Legii nr. 290/2004 privind cazierul judiciar, republicat</w:t>
      </w:r>
      <w:r w:rsidR="006E521F">
        <w:rPr>
          <w:rFonts w:ascii="Trebuchet MS" w:hAnsi="Trebuchet MS"/>
          <w:sz w:val="22"/>
          <w:szCs w:val="22"/>
        </w:rPr>
        <w:t xml:space="preserve"> </w:t>
      </w:r>
      <w:r>
        <w:rPr>
          <w:rFonts w:ascii="Trebuchet MS" w:hAnsi="Trebuchet MS"/>
          <w:sz w:val="22"/>
          <w:szCs w:val="22"/>
        </w:rPr>
        <w:t>cu modificările şi completările ulterioare;</w:t>
      </w:r>
    </w:p>
    <w:p w14:paraId="4ADA4681" w14:textId="15FEBD88" w:rsidR="000654CE" w:rsidRDefault="00C72072">
      <w:pPr>
        <w:pBdr>
          <w:left w:val="single" w:sz="4" w:space="1" w:color="000000"/>
        </w:pBdr>
        <w:spacing w:before="120" w:after="120" w:line="276" w:lineRule="auto"/>
        <w:ind w:left="990"/>
        <w:jc w:val="both"/>
        <w:rPr>
          <w:rFonts w:ascii="Trebuchet MS" w:hAnsi="Trebuchet MS"/>
          <w:sz w:val="22"/>
          <w:szCs w:val="22"/>
        </w:rPr>
      </w:pPr>
      <w:r>
        <w:rPr>
          <w:rFonts w:ascii="Trebuchet MS" w:hAnsi="Trebuchet MS"/>
          <w:sz w:val="22"/>
          <w:szCs w:val="22"/>
        </w:rPr>
        <w:t>5) Anexă în care să se menționeze explicit documentele, secțiunile, respectiv informațiile din proiect care sunt confidențiale în conformitate cu prevederile contractului de finanțare;</w:t>
      </w:r>
    </w:p>
    <w:p w14:paraId="506C5053" w14:textId="777A2032" w:rsidR="000654CE" w:rsidRDefault="00C72072">
      <w:pPr>
        <w:pBdr>
          <w:left w:val="single" w:sz="4" w:space="1" w:color="000000"/>
        </w:pBdr>
        <w:spacing w:before="120" w:after="120" w:line="276" w:lineRule="auto"/>
        <w:ind w:left="990"/>
        <w:jc w:val="both"/>
        <w:rPr>
          <w:rFonts w:ascii="Trebuchet MS" w:hAnsi="Trebuchet MS"/>
          <w:sz w:val="22"/>
          <w:szCs w:val="22"/>
        </w:rPr>
      </w:pPr>
      <w:r>
        <w:rPr>
          <w:rFonts w:ascii="Trebuchet MS" w:hAnsi="Trebuchet MS"/>
          <w:sz w:val="22"/>
          <w:szCs w:val="22"/>
        </w:rPr>
        <w:t>6) Lista semnăturilor autorizate pentru efectuarea tranzacțiilor bancare din fonduri aferente proiectului.</w:t>
      </w:r>
    </w:p>
    <w:p w14:paraId="66525FC2" w14:textId="77777777" w:rsidR="000654CE" w:rsidRDefault="000654CE">
      <w:pPr>
        <w:spacing w:before="120" w:after="120" w:line="276" w:lineRule="auto"/>
        <w:ind w:left="990"/>
        <w:jc w:val="both"/>
        <w:rPr>
          <w:rFonts w:ascii="Trebuchet MS" w:hAnsi="Trebuchet MS"/>
          <w:sz w:val="22"/>
          <w:szCs w:val="22"/>
        </w:rPr>
      </w:pPr>
    </w:p>
    <w:p w14:paraId="01308CFE"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Documentele se transmit prin intermediul sistemului informatic PNRR, asumate prin semnătură electronică de reprezentantul legal sau împuternicit, după caz și trebuie să fie valabile la data verificării acestora în vederea întocmirii contractului de finanțare. </w:t>
      </w:r>
    </w:p>
    <w:p w14:paraId="3E658D2D" w14:textId="3FA274B9" w:rsidR="000654CE" w:rsidRDefault="00000000">
      <w:pPr>
        <w:pStyle w:val="Heading3"/>
        <w:shd w:val="clear" w:color="auto" w:fill="BDD6EE" w:themeFill="accent1" w:themeFillTint="66"/>
        <w:spacing w:before="120" w:after="120" w:line="276" w:lineRule="auto"/>
        <w:ind w:left="990" w:hanging="360"/>
        <w:rPr>
          <w:rFonts w:ascii="Trebuchet MS" w:hAnsi="Trebuchet MS"/>
          <w:b/>
          <w:color w:val="auto"/>
          <w:sz w:val="22"/>
          <w:szCs w:val="22"/>
        </w:rPr>
      </w:pPr>
      <w:bookmarkStart w:id="47" w:name="_Toc149224634"/>
      <w:r>
        <w:rPr>
          <w:rFonts w:ascii="Trebuchet MS" w:hAnsi="Trebuchet MS"/>
          <w:b/>
          <w:color w:val="auto"/>
          <w:sz w:val="22"/>
          <w:szCs w:val="22"/>
        </w:rPr>
        <w:t>3</w:t>
      </w:r>
      <w:bookmarkStart w:id="48" w:name="_Toc144988191"/>
      <w:r>
        <w:rPr>
          <w:rFonts w:ascii="Trebuchet MS" w:hAnsi="Trebuchet MS"/>
          <w:b/>
          <w:color w:val="auto"/>
          <w:sz w:val="22"/>
          <w:szCs w:val="22"/>
        </w:rPr>
        <w:t>.5 Semnarea contractului de finanțare</w:t>
      </w:r>
      <w:bookmarkEnd w:id="47"/>
      <w:bookmarkEnd w:id="48"/>
    </w:p>
    <w:p w14:paraId="58E5CBF1" w14:textId="2D816632" w:rsidR="000654CE" w:rsidRDefault="0046027D">
      <w:pPr>
        <w:spacing w:before="120" w:after="120" w:line="276" w:lineRule="auto"/>
        <w:ind w:left="990"/>
        <w:jc w:val="both"/>
        <w:rPr>
          <w:rFonts w:ascii="Trebuchet MS" w:hAnsi="Trebuchet MS"/>
          <w:sz w:val="22"/>
          <w:szCs w:val="22"/>
        </w:rPr>
      </w:pPr>
      <w:r>
        <w:rPr>
          <w:rFonts w:ascii="Trebuchet MS" w:hAnsi="Trebuchet MS"/>
          <w:sz w:val="22"/>
          <w:szCs w:val="22"/>
        </w:rPr>
        <w:t>C</w:t>
      </w:r>
      <w:r w:rsidR="00F473D6">
        <w:rPr>
          <w:rFonts w:ascii="Trebuchet MS" w:hAnsi="Trebuchet MS"/>
          <w:sz w:val="22"/>
          <w:szCs w:val="22"/>
        </w:rPr>
        <w:t>ontractul de finanțare se va semna electronic,</w:t>
      </w:r>
      <w:r>
        <w:rPr>
          <w:rFonts w:ascii="Trebuchet MS" w:hAnsi="Trebuchet MS"/>
          <w:sz w:val="22"/>
          <w:szCs w:val="22"/>
        </w:rPr>
        <w:t xml:space="preserve"> în exemplar unic.</w:t>
      </w:r>
      <w:r w:rsidR="00F473D6">
        <w:rPr>
          <w:rFonts w:ascii="Trebuchet MS" w:hAnsi="Trebuchet MS"/>
          <w:sz w:val="22"/>
          <w:szCs w:val="22"/>
        </w:rPr>
        <w:t xml:space="preserve"> </w:t>
      </w:r>
      <w:r>
        <w:rPr>
          <w:rFonts w:ascii="Trebuchet MS" w:hAnsi="Trebuchet MS"/>
          <w:sz w:val="22"/>
          <w:szCs w:val="22"/>
        </w:rPr>
        <w:t>R</w:t>
      </w:r>
      <w:r w:rsidR="00F473D6">
        <w:rPr>
          <w:rFonts w:ascii="Trebuchet MS" w:hAnsi="Trebuchet MS"/>
          <w:sz w:val="22"/>
          <w:szCs w:val="22"/>
        </w:rPr>
        <w:t>eprezentantul legal al beneficiarului</w:t>
      </w:r>
      <w:r w:rsidR="0090751C">
        <w:rPr>
          <w:rFonts w:ascii="Trebuchet MS" w:hAnsi="Trebuchet MS"/>
          <w:sz w:val="22"/>
          <w:szCs w:val="22"/>
        </w:rPr>
        <w:t xml:space="preserve"> va</w:t>
      </w:r>
      <w:r w:rsidR="00F473D6">
        <w:rPr>
          <w:rFonts w:ascii="Trebuchet MS" w:hAnsi="Trebuchet MS"/>
          <w:sz w:val="22"/>
          <w:szCs w:val="22"/>
        </w:rPr>
        <w:t xml:space="preserve"> transmi</w:t>
      </w:r>
      <w:r w:rsidR="0090751C">
        <w:rPr>
          <w:rFonts w:ascii="Trebuchet MS" w:hAnsi="Trebuchet MS"/>
          <w:sz w:val="22"/>
          <w:szCs w:val="22"/>
        </w:rPr>
        <w:t>te</w:t>
      </w:r>
      <w:r w:rsidR="00F473D6">
        <w:rPr>
          <w:rFonts w:ascii="Trebuchet MS" w:hAnsi="Trebuchet MS"/>
          <w:sz w:val="22"/>
          <w:szCs w:val="22"/>
        </w:rPr>
        <w:t xml:space="preserve"> </w:t>
      </w:r>
      <w:r w:rsidR="0090751C">
        <w:rPr>
          <w:rFonts w:ascii="Trebuchet MS" w:hAnsi="Trebuchet MS"/>
          <w:sz w:val="22"/>
          <w:szCs w:val="22"/>
        </w:rPr>
        <w:t>contractul semnat prin platforma proiecte.pnrr.gov.ro</w:t>
      </w:r>
      <w:r w:rsidR="00016AA5">
        <w:rPr>
          <w:rFonts w:ascii="Trebuchet MS" w:hAnsi="Trebuchet MS"/>
          <w:sz w:val="22"/>
          <w:szCs w:val="22"/>
        </w:rPr>
        <w:t xml:space="preserve">. </w:t>
      </w:r>
      <w:r w:rsidR="00F473D6">
        <w:rPr>
          <w:rFonts w:ascii="Trebuchet MS" w:hAnsi="Trebuchet MS"/>
          <w:sz w:val="22"/>
          <w:szCs w:val="22"/>
        </w:rPr>
        <w:t>MEAT</w:t>
      </w:r>
      <w:r w:rsidR="00AE669B">
        <w:rPr>
          <w:rFonts w:ascii="Trebuchet MS" w:hAnsi="Trebuchet MS"/>
          <w:sz w:val="22"/>
          <w:szCs w:val="22"/>
        </w:rPr>
        <w:t xml:space="preserve">, urmat de </w:t>
      </w:r>
      <w:r w:rsidR="00F473D6">
        <w:rPr>
          <w:rFonts w:ascii="Trebuchet MS" w:hAnsi="Trebuchet MS"/>
          <w:sz w:val="22"/>
          <w:szCs w:val="22"/>
        </w:rPr>
        <w:t>MIPE</w:t>
      </w:r>
      <w:r w:rsidR="00016AA5">
        <w:rPr>
          <w:rFonts w:ascii="Trebuchet MS" w:hAnsi="Trebuchet MS"/>
          <w:sz w:val="22"/>
          <w:szCs w:val="22"/>
        </w:rPr>
        <w:t xml:space="preserve"> vor asigura semnarea contractului de finanțare care, </w:t>
      </w:r>
      <w:r w:rsidR="00AE669B">
        <w:rPr>
          <w:rFonts w:ascii="Trebuchet MS" w:hAnsi="Trebuchet MS"/>
          <w:sz w:val="22"/>
          <w:szCs w:val="22"/>
        </w:rPr>
        <w:t>ulterior</w:t>
      </w:r>
      <w:r w:rsidR="00016AA5">
        <w:rPr>
          <w:rFonts w:ascii="Trebuchet MS" w:hAnsi="Trebuchet MS"/>
          <w:sz w:val="22"/>
          <w:szCs w:val="22"/>
        </w:rPr>
        <w:t>, va fi încărcat în platforma proiecte.pnrr.gov.ro.</w:t>
      </w:r>
      <w:r w:rsidR="00F473D6">
        <w:rPr>
          <w:rFonts w:ascii="Trebuchet MS" w:hAnsi="Trebuchet MS"/>
          <w:sz w:val="22"/>
          <w:szCs w:val="22"/>
        </w:rPr>
        <w:t xml:space="preserve"> </w:t>
      </w:r>
    </w:p>
    <w:p w14:paraId="61C9E358"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După semnarea contractului de finanțare și după publicarea de către MIPE/MEAT pe site-ul propriu a unui anunț cu privire la acesta, beneficiarul va publica la rândul său un comunicat de presă.</w:t>
      </w:r>
    </w:p>
    <w:p w14:paraId="19239A10" w14:textId="0A7B51B7" w:rsidR="000654CE" w:rsidRDefault="00000000">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49" w:name="_Toc149224635"/>
      <w:r>
        <w:rPr>
          <w:rFonts w:ascii="Trebuchet MS" w:eastAsiaTheme="majorEastAsia" w:hAnsi="Trebuchet MS" w:cstheme="majorBidi"/>
          <w:b/>
          <w:sz w:val="22"/>
          <w:szCs w:val="22"/>
        </w:rPr>
        <w:t>3</w:t>
      </w:r>
      <w:bookmarkStart w:id="50" w:name="_Toc144988192"/>
      <w:r>
        <w:rPr>
          <w:rFonts w:ascii="Trebuchet MS" w:eastAsiaTheme="majorEastAsia" w:hAnsi="Trebuchet MS" w:cstheme="majorBidi"/>
          <w:b/>
          <w:sz w:val="22"/>
          <w:szCs w:val="22"/>
        </w:rPr>
        <w:t>.6 Implementarea contractelor de finanțare; Sustenabilitatea proiectului</w:t>
      </w:r>
      <w:bookmarkEnd w:id="49"/>
      <w:bookmarkEnd w:id="50"/>
    </w:p>
    <w:p w14:paraId="03E6050A" w14:textId="4A14049A" w:rsidR="00357226" w:rsidRDefault="00000000">
      <w:pPr>
        <w:spacing w:before="120" w:after="120" w:line="276" w:lineRule="auto"/>
        <w:ind w:left="990"/>
        <w:jc w:val="both"/>
        <w:rPr>
          <w:rFonts w:ascii="Trebuchet MS" w:hAnsi="Trebuchet MS"/>
          <w:sz w:val="22"/>
          <w:szCs w:val="22"/>
        </w:rPr>
      </w:pPr>
      <w:r>
        <w:rPr>
          <w:rFonts w:ascii="Trebuchet MS" w:hAnsi="Trebuchet MS"/>
          <w:sz w:val="22"/>
          <w:szCs w:val="22"/>
        </w:rPr>
        <w:t xml:space="preserve">Perioada de implementare a proiectului se referă la </w:t>
      </w:r>
      <w:r w:rsidR="00016AA5">
        <w:rPr>
          <w:rFonts w:ascii="Trebuchet MS" w:hAnsi="Trebuchet MS"/>
          <w:sz w:val="22"/>
          <w:szCs w:val="22"/>
        </w:rPr>
        <w:t xml:space="preserve">intervalul de timp în care se vor realiza activități ale proiectului, </w:t>
      </w:r>
      <w:r w:rsidR="00361564">
        <w:rPr>
          <w:rFonts w:ascii="Trebuchet MS" w:hAnsi="Trebuchet MS"/>
          <w:sz w:val="22"/>
          <w:szCs w:val="22"/>
        </w:rPr>
        <w:t>stabilit între</w:t>
      </w:r>
      <w:r w:rsidR="00016AA5">
        <w:rPr>
          <w:rFonts w:ascii="Trebuchet MS" w:hAnsi="Trebuchet MS"/>
          <w:sz w:val="22"/>
          <w:szCs w:val="22"/>
        </w:rPr>
        <w:t xml:space="preserve"> data semnării contractului de finanțare și </w:t>
      </w:r>
      <w:r w:rsidR="00361564">
        <w:rPr>
          <w:rFonts w:ascii="Trebuchet MS" w:hAnsi="Trebuchet MS"/>
          <w:sz w:val="22"/>
          <w:szCs w:val="22"/>
        </w:rPr>
        <w:t xml:space="preserve">cel târziu </w:t>
      </w:r>
      <w:r w:rsidR="00016AA5">
        <w:rPr>
          <w:rFonts w:ascii="Trebuchet MS" w:hAnsi="Trebuchet MS"/>
          <w:sz w:val="22"/>
          <w:szCs w:val="22"/>
        </w:rPr>
        <w:t>data de 31.12.2028.</w:t>
      </w:r>
    </w:p>
    <w:p w14:paraId="05DA0B4B" w14:textId="11C51B6D" w:rsidR="000654CE" w:rsidRDefault="00357226">
      <w:pPr>
        <w:spacing w:before="120" w:after="120" w:line="276" w:lineRule="auto"/>
        <w:ind w:left="990"/>
        <w:jc w:val="both"/>
        <w:rPr>
          <w:rFonts w:ascii="Trebuchet MS" w:hAnsi="Trebuchet MS"/>
          <w:sz w:val="22"/>
          <w:szCs w:val="22"/>
        </w:rPr>
      </w:pPr>
      <w:r>
        <w:rPr>
          <w:rFonts w:ascii="Trebuchet MS" w:hAnsi="Trebuchet MS"/>
          <w:sz w:val="22"/>
          <w:szCs w:val="22"/>
        </w:rPr>
        <w:t xml:space="preserve">Cheltuielile aferente activităților eligibile </w:t>
      </w:r>
      <w:r w:rsidR="00412868">
        <w:rPr>
          <w:rFonts w:ascii="Trebuchet MS" w:hAnsi="Trebuchet MS"/>
          <w:sz w:val="22"/>
          <w:szCs w:val="22"/>
        </w:rPr>
        <w:t xml:space="preserve">din cererea de finanțare </w:t>
      </w:r>
      <w:r>
        <w:rPr>
          <w:rFonts w:ascii="Trebuchet MS" w:hAnsi="Trebuchet MS"/>
          <w:sz w:val="22"/>
          <w:szCs w:val="22"/>
        </w:rPr>
        <w:t xml:space="preserve">sunt eligibile și </w:t>
      </w:r>
      <w:r w:rsidR="00412868">
        <w:rPr>
          <w:rFonts w:ascii="Trebuchet MS" w:hAnsi="Trebuchet MS"/>
          <w:sz w:val="22"/>
          <w:szCs w:val="22"/>
        </w:rPr>
        <w:t xml:space="preserve">dacă sunt </w:t>
      </w:r>
      <w:r>
        <w:rPr>
          <w:rFonts w:ascii="Trebuchet MS" w:hAnsi="Trebuchet MS"/>
          <w:sz w:val="22"/>
          <w:szCs w:val="22"/>
        </w:rPr>
        <w:t xml:space="preserve">realizate </w:t>
      </w:r>
      <w:r w:rsidR="00412868">
        <w:rPr>
          <w:rFonts w:ascii="Trebuchet MS" w:hAnsi="Trebuchet MS"/>
          <w:sz w:val="22"/>
          <w:szCs w:val="22"/>
        </w:rPr>
        <w:t xml:space="preserve">înainte de semnarea contractului de finanțare, dar nu mai devreme de </w:t>
      </w:r>
      <w:r>
        <w:rPr>
          <w:rFonts w:ascii="Trebuchet MS" w:hAnsi="Trebuchet MS"/>
          <w:sz w:val="22"/>
          <w:szCs w:val="22"/>
        </w:rPr>
        <w:t>data depunerii cererii</w:t>
      </w:r>
      <w:r w:rsidR="00412868">
        <w:rPr>
          <w:rFonts w:ascii="Trebuchet MS" w:hAnsi="Trebuchet MS"/>
          <w:sz w:val="22"/>
          <w:szCs w:val="22"/>
        </w:rPr>
        <w:t xml:space="preserve"> </w:t>
      </w:r>
      <w:r>
        <w:rPr>
          <w:rFonts w:ascii="Trebuchet MS" w:hAnsi="Trebuchet MS"/>
          <w:sz w:val="22"/>
          <w:szCs w:val="22"/>
        </w:rPr>
        <w:t xml:space="preserve">în apelul de preselecție derulat de MEAT conform OME nr. 99/1.02.2022, respectiv începând cu data de 1 februarie 2022. </w:t>
      </w:r>
    </w:p>
    <w:p w14:paraId="123F440C" w14:textId="61FC3E90" w:rsidR="000654CE" w:rsidRDefault="00000000">
      <w:pPr>
        <w:spacing w:before="120" w:after="120" w:line="276" w:lineRule="auto"/>
        <w:ind w:left="990"/>
        <w:jc w:val="both"/>
      </w:pPr>
      <w:r>
        <w:rPr>
          <w:rFonts w:ascii="Trebuchet MS" w:hAnsi="Trebuchet MS"/>
          <w:sz w:val="22"/>
          <w:szCs w:val="22"/>
        </w:rPr>
        <w:t>Monitorizarea proiectelor și comunicarea cu beneficiarii pentru implementarea proiectelor vor fi realizate de către MEAT și MIPE prin intermediul platformei proiecte.pnrr.gov.ro.</w:t>
      </w:r>
    </w:p>
    <w:p w14:paraId="5ECEC083" w14:textId="19FD8745"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Perioada de sustenabilitate a proiectului reprezintă perioada de timp, ulterioară perioadei de implementare a proiectului, în care investițiile realizate prin proiect își vor produce efectele și rezultatele scontate.</w:t>
      </w:r>
      <w:r w:rsidR="00BC11A5">
        <w:rPr>
          <w:rFonts w:ascii="Trebuchet MS" w:hAnsi="Trebuchet MS"/>
          <w:sz w:val="22"/>
          <w:szCs w:val="22"/>
        </w:rPr>
        <w:t xml:space="preserve"> </w:t>
      </w:r>
      <w:r>
        <w:rPr>
          <w:rFonts w:ascii="Trebuchet MS" w:hAnsi="Trebuchet MS"/>
          <w:sz w:val="22"/>
          <w:szCs w:val="22"/>
        </w:rPr>
        <w:t xml:space="preserve">Perioada de sustenabilitate a proiectului este de maxim 10 ani, calculată începând cu primul an de producție în masă/comercializare, așa cum a fost asumat de patricipantul direct la PIIEC în cadrul proiectului selectat de către Comisia Europeană pentru finanțare.  </w:t>
      </w:r>
    </w:p>
    <w:p w14:paraId="6DF7C7CE" w14:textId="09058F61"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În mod particular, pe perioada de sustenabilitate, MEAT va urmări și a</w:t>
      </w:r>
      <w:r w:rsidR="009E25F9">
        <w:rPr>
          <w:rFonts w:ascii="Trebuchet MS" w:hAnsi="Trebuchet MS"/>
          <w:sz w:val="22"/>
          <w:szCs w:val="22"/>
        </w:rPr>
        <w:t xml:space="preserve">plica </w:t>
      </w:r>
      <w:r>
        <w:rPr>
          <w:rFonts w:ascii="Trebuchet MS" w:hAnsi="Trebuchet MS"/>
          <w:sz w:val="22"/>
          <w:szCs w:val="22"/>
        </w:rPr>
        <w:t xml:space="preserve">mecanismul de clawback prevăzut în Decizia C(2023) 3817 din 8.06.2023 pentru beneficiarii care au primit ajutor de stat, în termeni nominali, cu o valoare mai </w:t>
      </w:r>
      <w:r w:rsidR="009E25F9">
        <w:rPr>
          <w:rFonts w:ascii="Trebuchet MS" w:hAnsi="Trebuchet MS"/>
          <w:sz w:val="22"/>
          <w:szCs w:val="22"/>
        </w:rPr>
        <w:t xml:space="preserve">mare </w:t>
      </w:r>
      <w:r>
        <w:rPr>
          <w:rFonts w:ascii="Trebuchet MS" w:hAnsi="Trebuchet MS"/>
          <w:sz w:val="22"/>
          <w:szCs w:val="22"/>
        </w:rPr>
        <w:t xml:space="preserve">de 50 milioane euro. </w:t>
      </w:r>
      <w:bookmarkStart w:id="51" w:name="_Hlk144807744"/>
      <w:r>
        <w:rPr>
          <w:rFonts w:ascii="Trebuchet MS" w:hAnsi="Trebuchet MS"/>
          <w:sz w:val="22"/>
          <w:szCs w:val="22"/>
        </w:rPr>
        <w:t>În acest scop, MIPE și MEAT elaborează și aprobă norme metodologice privind aplicarea mecanismului clawback, în termen de 120 de zile de la aprobarea Ordinului comun MIPE/</w:t>
      </w:r>
      <w:r w:rsidRPr="005541FD">
        <w:rPr>
          <w:rFonts w:ascii="Trebuchet MS" w:hAnsi="Trebuchet MS"/>
          <w:sz w:val="22"/>
          <w:szCs w:val="22"/>
        </w:rPr>
        <w:t xml:space="preserve">MEAT nr. </w:t>
      </w:r>
      <w:r w:rsidR="0027019B" w:rsidRPr="005541FD">
        <w:rPr>
          <w:rFonts w:ascii="Trebuchet MS" w:hAnsi="Trebuchet MS"/>
          <w:sz w:val="22"/>
          <w:szCs w:val="22"/>
        </w:rPr>
        <w:t>3875/1140/25.10.2023,</w:t>
      </w:r>
      <w:r w:rsidR="0027019B">
        <w:rPr>
          <w:rFonts w:ascii="Trebuchet MS" w:hAnsi="Trebuchet MS"/>
          <w:sz w:val="22"/>
          <w:szCs w:val="22"/>
        </w:rPr>
        <w:t xml:space="preserve"> </w:t>
      </w:r>
      <w:r>
        <w:rPr>
          <w:rFonts w:ascii="Trebuchet MS" w:hAnsi="Trebuchet MS"/>
          <w:sz w:val="22"/>
          <w:szCs w:val="22"/>
        </w:rPr>
        <w:t>pe care le vor aduce la cunoștința întreprinderilor beneficiare.</w:t>
      </w:r>
      <w:bookmarkStart w:id="52" w:name="_Hlk144807568"/>
      <w:bookmarkEnd w:id="51"/>
      <w:bookmarkEnd w:id="52"/>
    </w:p>
    <w:p w14:paraId="3B9A12DD" w14:textId="77777777" w:rsidR="000654CE" w:rsidRDefault="000654CE">
      <w:pPr>
        <w:spacing w:before="120" w:after="120" w:line="276" w:lineRule="auto"/>
        <w:ind w:left="990"/>
        <w:jc w:val="both"/>
        <w:rPr>
          <w:rFonts w:ascii="Trebuchet MS" w:hAnsi="Trebuchet MS"/>
          <w:sz w:val="22"/>
          <w:szCs w:val="22"/>
        </w:rPr>
      </w:pPr>
    </w:p>
    <w:p w14:paraId="20D27829" w14:textId="14FA80DF" w:rsidR="000654CE" w:rsidRDefault="00000000">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53" w:name="_Toc149224636"/>
      <w:r>
        <w:rPr>
          <w:rFonts w:ascii="Trebuchet MS" w:eastAsiaTheme="majorEastAsia" w:hAnsi="Trebuchet MS" w:cstheme="majorBidi"/>
          <w:b/>
          <w:sz w:val="22"/>
          <w:szCs w:val="22"/>
        </w:rPr>
        <w:t>3</w:t>
      </w:r>
      <w:bookmarkStart w:id="54" w:name="_Toc144988193"/>
      <w:r>
        <w:rPr>
          <w:rFonts w:ascii="Trebuchet MS" w:eastAsiaTheme="majorEastAsia" w:hAnsi="Trebuchet MS" w:cstheme="majorBidi"/>
          <w:b/>
          <w:sz w:val="22"/>
          <w:szCs w:val="22"/>
        </w:rPr>
        <w:t>.6.1 Monitorizarea tehnică</w:t>
      </w:r>
      <w:bookmarkEnd w:id="53"/>
      <w:bookmarkEnd w:id="54"/>
      <w:r>
        <w:rPr>
          <w:rFonts w:ascii="Trebuchet MS" w:eastAsiaTheme="majorEastAsia" w:hAnsi="Trebuchet MS" w:cstheme="majorBidi"/>
          <w:b/>
          <w:sz w:val="22"/>
          <w:szCs w:val="22"/>
        </w:rPr>
        <w:t xml:space="preserve"> </w:t>
      </w:r>
    </w:p>
    <w:p w14:paraId="4558887F"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Beneficiarul are obligația de raportare a progresului proiectului în perioada de implementare și va transmite date și rapoarte de progres către Ministerul Economiei, Antreprenoriatului și Turismului după cum urmează:</w:t>
      </w:r>
    </w:p>
    <w:p w14:paraId="7079548A" w14:textId="77777777" w:rsidR="000654CE" w:rsidRDefault="00000000">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1.</w:t>
      </w:r>
      <w:r>
        <w:rPr>
          <w:rFonts w:ascii="Trebuchet MS" w:hAnsi="Trebuchet MS"/>
          <w:sz w:val="22"/>
          <w:szCs w:val="22"/>
        </w:rPr>
        <w:tab/>
        <w:t>odată cu cererile de transfer, care să conțină execuția activităților proiectului realizată în perioada de raportare, gradul de realizare a proiectului din punct de vedere al activităților proiectului;</w:t>
      </w:r>
    </w:p>
    <w:p w14:paraId="79AD1B41" w14:textId="31E1F4A5" w:rsidR="000654CE" w:rsidRDefault="00000000">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2.</w:t>
      </w:r>
      <w:r>
        <w:rPr>
          <w:rFonts w:ascii="Trebuchet MS" w:hAnsi="Trebuchet MS"/>
          <w:sz w:val="22"/>
          <w:szCs w:val="22"/>
        </w:rPr>
        <w:tab/>
        <w:t>anual, până la data de 28 februarie a anului următor anului pentru care se face raportarea, care să conțină execuția activităților proiectului, activitățile de diseminare, conformarea cu principiul DNSH „ a nu prejudicia semnificativ” precum și alte activități complementare cu inițiativele Uniunii Europene, respectiv Key Digital Technologies Joint Undertaking KDT-JU sau programul Horizon Europe, potrivit șablonului de raportare anuală în cadrul mecanis</w:t>
      </w:r>
      <w:r w:rsidR="000A7836">
        <w:rPr>
          <w:rFonts w:ascii="Trebuchet MS" w:hAnsi="Trebuchet MS"/>
          <w:sz w:val="22"/>
          <w:szCs w:val="22"/>
        </w:rPr>
        <w:t>m</w:t>
      </w:r>
      <w:r>
        <w:rPr>
          <w:rFonts w:ascii="Trebuchet MS" w:hAnsi="Trebuchet MS"/>
          <w:sz w:val="22"/>
          <w:szCs w:val="22"/>
        </w:rPr>
        <w:t>ului PIIEC;</w:t>
      </w:r>
    </w:p>
    <w:p w14:paraId="0F97EEB7" w14:textId="032C4C39" w:rsidR="000A7836" w:rsidRDefault="000A7836">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 xml:space="preserve">La solicitarea MIPE, PD vor actualiza bianual datele cuprinse la Anexa </w:t>
      </w:r>
      <w:r w:rsidR="00B65992">
        <w:rPr>
          <w:rFonts w:ascii="Trebuchet MS" w:hAnsi="Trebuchet MS"/>
          <w:sz w:val="22"/>
          <w:szCs w:val="22"/>
        </w:rPr>
        <w:t>6</w:t>
      </w:r>
      <w:r>
        <w:rPr>
          <w:rFonts w:ascii="Trebuchet MS" w:hAnsi="Trebuchet MS"/>
          <w:sz w:val="22"/>
          <w:szCs w:val="22"/>
        </w:rPr>
        <w:t xml:space="preserve"> din prezentul Ghid, la data de 30 iunie, respectiv </w:t>
      </w:r>
      <w:r w:rsidR="000B2BCD">
        <w:rPr>
          <w:rFonts w:ascii="Trebuchet MS" w:hAnsi="Trebuchet MS"/>
          <w:sz w:val="22"/>
          <w:szCs w:val="22"/>
        </w:rPr>
        <w:t xml:space="preserve">la data de </w:t>
      </w:r>
      <w:r>
        <w:rPr>
          <w:rFonts w:ascii="Trebuchet MS" w:hAnsi="Trebuchet MS"/>
          <w:sz w:val="22"/>
          <w:szCs w:val="22"/>
        </w:rPr>
        <w:t>31 decembrie.</w:t>
      </w:r>
    </w:p>
    <w:p w14:paraId="00FB86D3" w14:textId="44731FCE" w:rsidR="000654CE" w:rsidRDefault="009E25F9">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Ori de câte ori este necesar, la solicitarea MIPE și / sau MEAT, beneficiarul are obligația transmiterii de informații privind progresul proiectului.</w:t>
      </w:r>
    </w:p>
    <w:p w14:paraId="013D3298" w14:textId="77777777" w:rsidR="000654CE" w:rsidRDefault="00000000">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MEAT va pune la dispoziția beneficiarilor modele de rapoarte de progres și rapoarte anuale, armonizate cu cerințele de raportare solicitate la nivelul mecanismului PIIEC.</w:t>
      </w:r>
    </w:p>
    <w:p w14:paraId="23CAA8D1" w14:textId="001ED360" w:rsidR="000654CE" w:rsidRDefault="00000000">
      <w:pPr>
        <w:tabs>
          <w:tab w:val="left" w:pos="1620"/>
        </w:tabs>
        <w:spacing w:before="120" w:after="120" w:line="276" w:lineRule="auto"/>
        <w:ind w:left="990"/>
        <w:jc w:val="both"/>
        <w:rPr>
          <w:rFonts w:ascii="Trebuchet MS" w:hAnsi="Trebuchet MS"/>
          <w:sz w:val="22"/>
          <w:szCs w:val="22"/>
        </w:rPr>
      </w:pPr>
      <w:r>
        <w:rPr>
          <w:rFonts w:ascii="Trebuchet MS" w:hAnsi="Trebuchet MS"/>
          <w:sz w:val="22"/>
          <w:szCs w:val="22"/>
        </w:rPr>
        <w:t>În perioada de sustenabilitate a proiectului, beneficiarul</w:t>
      </w:r>
      <w:r>
        <w:rPr>
          <w:sz w:val="22"/>
          <w:szCs w:val="22"/>
        </w:rPr>
        <w:t xml:space="preserve"> </w:t>
      </w:r>
      <w:r>
        <w:rPr>
          <w:rFonts w:ascii="Trebuchet MS" w:hAnsi="Trebuchet MS"/>
          <w:sz w:val="22"/>
          <w:szCs w:val="22"/>
        </w:rPr>
        <w:t>are obligația de a transmite</w:t>
      </w:r>
      <w:r>
        <w:rPr>
          <w:rFonts w:ascii="Trebuchet MS" w:hAnsi="Trebuchet MS"/>
        </w:rPr>
        <w:t xml:space="preserve"> </w:t>
      </w:r>
      <w:r>
        <w:rPr>
          <w:rFonts w:ascii="Trebuchet MS" w:hAnsi="Trebuchet MS"/>
          <w:sz w:val="22"/>
          <w:szCs w:val="22"/>
        </w:rPr>
        <w:t>MEAT</w:t>
      </w:r>
      <w:r>
        <w:rPr>
          <w:rFonts w:ascii="Trebuchet MS" w:hAnsi="Trebuchet MS"/>
        </w:rPr>
        <w:t xml:space="preserve"> r</w:t>
      </w:r>
      <w:r>
        <w:rPr>
          <w:rFonts w:ascii="Trebuchet MS" w:hAnsi="Trebuchet MS"/>
          <w:sz w:val="22"/>
          <w:szCs w:val="22"/>
        </w:rPr>
        <w:t xml:space="preserve">aportul de sustenabilitate anual, până la data de 28 februarie a anului următor anului pentru care se face raportarea, care să conțină activitățile de </w:t>
      </w:r>
      <w:r w:rsidR="00AE669B">
        <w:rPr>
          <w:rFonts w:ascii="Trebuchet MS" w:hAnsi="Trebuchet MS"/>
          <w:sz w:val="22"/>
          <w:szCs w:val="22"/>
        </w:rPr>
        <w:t>sustenabilitate și diseminare a rezultatelor proiectelor</w:t>
      </w:r>
      <w:r>
        <w:rPr>
          <w:rFonts w:ascii="Trebuchet MS" w:hAnsi="Trebuchet MS"/>
          <w:sz w:val="22"/>
          <w:szCs w:val="22"/>
        </w:rPr>
        <w:t xml:space="preserve">, precum și alte activități complementare cu inițiativele Uniunii Europene, </w:t>
      </w:r>
      <w:r w:rsidR="00AE669B">
        <w:rPr>
          <w:rFonts w:ascii="Trebuchet MS" w:hAnsi="Trebuchet MS"/>
          <w:sz w:val="22"/>
          <w:szCs w:val="22"/>
        </w:rPr>
        <w:t xml:space="preserve"> cum este </w:t>
      </w:r>
      <w:r>
        <w:rPr>
          <w:rFonts w:ascii="Trebuchet MS" w:hAnsi="Trebuchet MS"/>
          <w:sz w:val="22"/>
          <w:szCs w:val="22"/>
        </w:rPr>
        <w:t>Key Digital Technologies</w:t>
      </w:r>
      <w:r w:rsidR="00AE669B">
        <w:rPr>
          <w:rFonts w:ascii="Trebuchet MS" w:hAnsi="Trebuchet MS"/>
          <w:sz w:val="22"/>
          <w:szCs w:val="22"/>
        </w:rPr>
        <w:t xml:space="preserve"> / Chips</w:t>
      </w:r>
      <w:r>
        <w:rPr>
          <w:rFonts w:ascii="Trebuchet MS" w:hAnsi="Trebuchet MS"/>
          <w:sz w:val="22"/>
          <w:szCs w:val="22"/>
        </w:rPr>
        <w:t xml:space="preserve"> Joint Undertaking KDT</w:t>
      </w:r>
      <w:r w:rsidR="00AE669B">
        <w:rPr>
          <w:rFonts w:ascii="Trebuchet MS" w:hAnsi="Trebuchet MS"/>
          <w:sz w:val="22"/>
          <w:szCs w:val="22"/>
        </w:rPr>
        <w:t>/Chips</w:t>
      </w:r>
      <w:r>
        <w:rPr>
          <w:rFonts w:ascii="Trebuchet MS" w:hAnsi="Trebuchet MS"/>
          <w:sz w:val="22"/>
          <w:szCs w:val="22"/>
        </w:rPr>
        <w:t>-JU, realizate în perioada de sustenabilitate.</w:t>
      </w:r>
      <w:r w:rsidR="00AE669B">
        <w:rPr>
          <w:rFonts w:ascii="Trebuchet MS" w:hAnsi="Trebuchet MS"/>
          <w:sz w:val="22"/>
          <w:szCs w:val="22"/>
        </w:rPr>
        <w:t xml:space="preserve"> Raportul de sustenabilitate va cuprinde informațiile necesare aplicării mecanismului de clawback</w:t>
      </w:r>
      <w:r w:rsidR="00B67C42">
        <w:rPr>
          <w:rFonts w:ascii="Trebuchet MS" w:hAnsi="Trebuchet MS"/>
          <w:sz w:val="22"/>
          <w:szCs w:val="22"/>
        </w:rPr>
        <w:t>, potrivit modelelor de rapoarte puse la dispoziție de MEAT.</w:t>
      </w:r>
    </w:p>
    <w:p w14:paraId="30BB2B3A" w14:textId="57593851" w:rsidR="000654CE" w:rsidRDefault="00000000">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55" w:name="_Toc149224637"/>
      <w:r>
        <w:rPr>
          <w:rFonts w:ascii="Trebuchet MS" w:eastAsiaTheme="majorEastAsia" w:hAnsi="Trebuchet MS" w:cstheme="majorBidi"/>
          <w:b/>
          <w:sz w:val="22"/>
          <w:szCs w:val="22"/>
        </w:rPr>
        <w:t>3</w:t>
      </w:r>
      <w:bookmarkStart w:id="56" w:name="_Toc144988194"/>
      <w:r>
        <w:rPr>
          <w:rFonts w:ascii="Trebuchet MS" w:eastAsiaTheme="majorEastAsia" w:hAnsi="Trebuchet MS" w:cstheme="majorBidi"/>
          <w:b/>
          <w:sz w:val="22"/>
          <w:szCs w:val="22"/>
        </w:rPr>
        <w:t xml:space="preserve">.6.2 Monitorizarea </w:t>
      </w:r>
      <w:bookmarkEnd w:id="56"/>
      <w:r>
        <w:rPr>
          <w:rFonts w:ascii="Trebuchet MS" w:eastAsiaTheme="majorEastAsia" w:hAnsi="Trebuchet MS" w:cstheme="majorBidi"/>
          <w:b/>
          <w:sz w:val="22"/>
          <w:szCs w:val="22"/>
        </w:rPr>
        <w:t>financiară</w:t>
      </w:r>
      <w:bookmarkEnd w:id="55"/>
    </w:p>
    <w:p w14:paraId="1776121F" w14:textId="77777777" w:rsidR="000654CE" w:rsidRDefault="00000000">
      <w:pPr>
        <w:spacing w:before="120" w:after="120" w:line="276" w:lineRule="auto"/>
        <w:ind w:left="990"/>
        <w:jc w:val="both"/>
        <w:rPr>
          <w:rFonts w:ascii="Trebuchet MS" w:hAnsi="Trebuchet MS"/>
          <w:sz w:val="22"/>
          <w:szCs w:val="22"/>
        </w:rPr>
      </w:pPr>
      <w:r>
        <w:rPr>
          <w:rFonts w:ascii="Trebuchet MS" w:hAnsi="Trebuchet MS"/>
          <w:sz w:val="22"/>
          <w:szCs w:val="22"/>
        </w:rPr>
        <w:t>Plățile către Beneficiar se efectuează în condițiile prevăzute în contractul de finanțare, în conformitate cu cadrul legal aplicabil finanțării proiectelor de cercetare științifică din fondurile publice aferente Mecanismul de redresare și reziliență.</w:t>
      </w:r>
    </w:p>
    <w:p w14:paraId="27A1FA61" w14:textId="77777777" w:rsidR="000654CE" w:rsidRDefault="00000000">
      <w:pPr>
        <w:spacing w:before="120" w:after="120" w:line="276" w:lineRule="auto"/>
        <w:ind w:left="990"/>
        <w:jc w:val="both"/>
        <w:rPr>
          <w:rFonts w:ascii="Trebuchet MS" w:hAnsi="Trebuchet MS"/>
          <w:sz w:val="22"/>
          <w:szCs w:val="22"/>
          <w:lang w:val="en-US"/>
        </w:rPr>
      </w:pPr>
      <w:r>
        <w:rPr>
          <w:rFonts w:ascii="Trebuchet MS" w:hAnsi="Trebuchet MS"/>
          <w:sz w:val="22"/>
          <w:szCs w:val="22"/>
        </w:rPr>
        <w:t>În perioada de implementare a proiectului, beneficiarul este îndreptățit pentru plată în conformitate cu mecanismul cererilor de transfer prevăzut prin Hotărârea Guvernului nr. 209/2022, cu modificările și completările ulterioare, în baza calendarului estimativ privind cererile de transfer, anexa la contractul de finanțare. Calendarul estimativ privind cererile de transfer poate include sume estimate a fi solicitate, după cum urmează</w:t>
      </w:r>
      <w:r>
        <w:rPr>
          <w:rFonts w:ascii="Trebuchet MS" w:hAnsi="Trebuchet MS"/>
          <w:sz w:val="22"/>
          <w:szCs w:val="22"/>
          <w:lang w:val="en-US"/>
        </w:rPr>
        <w:t>:</w:t>
      </w:r>
    </w:p>
    <w:p w14:paraId="0C0F2588" w14:textId="77777777" w:rsidR="000654CE" w:rsidRDefault="00000000">
      <w:pPr>
        <w:pStyle w:val="ListParagraph"/>
        <w:numPr>
          <w:ilvl w:val="0"/>
          <w:numId w:val="12"/>
        </w:numPr>
        <w:spacing w:before="120" w:after="120" w:line="276" w:lineRule="auto"/>
        <w:ind w:left="1350"/>
        <w:jc w:val="both"/>
        <w:rPr>
          <w:rFonts w:ascii="Trebuchet MS" w:hAnsi="Trebuchet MS"/>
          <w:sz w:val="22"/>
          <w:szCs w:val="22"/>
        </w:rPr>
      </w:pPr>
      <w:r>
        <w:rPr>
          <w:rFonts w:ascii="Trebuchet MS" w:hAnsi="Trebuchet MS"/>
          <w:sz w:val="22"/>
          <w:szCs w:val="22"/>
        </w:rPr>
        <w:t>Cheltuieli eligibile plătite înainte de semnarea Contractului de finanțare, dar nu mai devreme de 1 februarie 2022 – acestea fac obiectul unei cereri de transfer distincte, care va fi depusă în termen de 15 zile lucrătoare de la data semnării contractului de finanțare;</w:t>
      </w:r>
    </w:p>
    <w:p w14:paraId="3C1F9CC6" w14:textId="0E78F5FF" w:rsidR="000654CE" w:rsidRDefault="00000000">
      <w:pPr>
        <w:pStyle w:val="ListParagraph"/>
        <w:numPr>
          <w:ilvl w:val="0"/>
          <w:numId w:val="12"/>
        </w:numPr>
        <w:spacing w:before="120" w:after="120" w:line="276" w:lineRule="auto"/>
        <w:ind w:left="1350"/>
        <w:jc w:val="both"/>
        <w:rPr>
          <w:rFonts w:ascii="Trebuchet MS" w:hAnsi="Trebuchet MS"/>
          <w:sz w:val="22"/>
          <w:szCs w:val="22"/>
        </w:rPr>
      </w:pPr>
      <w:r>
        <w:rPr>
          <w:rFonts w:ascii="Trebuchet MS" w:hAnsi="Trebuchet MS"/>
          <w:sz w:val="22"/>
          <w:szCs w:val="22"/>
        </w:rPr>
        <w:t xml:space="preserve">Solicitări de acordare de avans, de maxim 90% din </w:t>
      </w:r>
      <w:bookmarkStart w:id="57" w:name="_Hlk147843916"/>
      <w:r>
        <w:rPr>
          <w:rFonts w:ascii="Trebuchet MS" w:hAnsi="Trebuchet MS"/>
          <w:sz w:val="22"/>
          <w:szCs w:val="22"/>
        </w:rPr>
        <w:t>asistența financiară nerambursabilă</w:t>
      </w:r>
      <w:bookmarkEnd w:id="57"/>
      <w:r>
        <w:rPr>
          <w:rFonts w:ascii="Trebuchet MS" w:hAnsi="Trebuchet MS"/>
          <w:sz w:val="22"/>
          <w:szCs w:val="22"/>
        </w:rPr>
        <w:t xml:space="preserve"> pe</w:t>
      </w:r>
      <w:r w:rsidR="00FC624C">
        <w:rPr>
          <w:rFonts w:ascii="Trebuchet MS" w:hAnsi="Trebuchet MS"/>
          <w:sz w:val="22"/>
          <w:szCs w:val="22"/>
        </w:rPr>
        <w:t xml:space="preserve">ntru </w:t>
      </w:r>
      <w:r>
        <w:rPr>
          <w:rFonts w:ascii="Trebuchet MS" w:hAnsi="Trebuchet MS"/>
          <w:sz w:val="22"/>
          <w:szCs w:val="22"/>
        </w:rPr>
        <w:t>an</w:t>
      </w:r>
      <w:r w:rsidR="00FC624C">
        <w:rPr>
          <w:rFonts w:ascii="Trebuchet MS" w:hAnsi="Trebuchet MS"/>
          <w:sz w:val="22"/>
          <w:szCs w:val="22"/>
        </w:rPr>
        <w:t xml:space="preserve">ul pentru </w:t>
      </w:r>
      <w:r w:rsidR="00FC624C" w:rsidRPr="00FC624C">
        <w:rPr>
          <w:rFonts w:ascii="Trebuchet MS" w:hAnsi="Trebuchet MS"/>
          <w:sz w:val="22"/>
          <w:szCs w:val="22"/>
        </w:rPr>
        <w:t xml:space="preserve">care se solicită plățile în avans, pentru </w:t>
      </w:r>
      <w:r w:rsidR="00FC624C">
        <w:rPr>
          <w:rFonts w:ascii="Trebuchet MS" w:hAnsi="Trebuchet MS"/>
          <w:sz w:val="22"/>
          <w:szCs w:val="22"/>
        </w:rPr>
        <w:t xml:space="preserve">realizarea </w:t>
      </w:r>
      <w:r w:rsidR="00FC624C" w:rsidRPr="00FC624C">
        <w:rPr>
          <w:rFonts w:ascii="Trebuchet MS" w:hAnsi="Trebuchet MS"/>
          <w:sz w:val="22"/>
          <w:szCs w:val="22"/>
        </w:rPr>
        <w:t>cheltuielil</w:t>
      </w:r>
      <w:r w:rsidR="00FC624C">
        <w:rPr>
          <w:rFonts w:ascii="Trebuchet MS" w:hAnsi="Trebuchet MS"/>
          <w:sz w:val="22"/>
          <w:szCs w:val="22"/>
        </w:rPr>
        <w:t>or</w:t>
      </w:r>
      <w:r w:rsidR="00FC624C" w:rsidRPr="00FC624C">
        <w:rPr>
          <w:rFonts w:ascii="Trebuchet MS" w:hAnsi="Trebuchet MS"/>
          <w:sz w:val="22"/>
          <w:szCs w:val="22"/>
        </w:rPr>
        <w:t xml:space="preserve"> eligibile aferente activităților proiectului</w:t>
      </w:r>
      <w:r>
        <w:rPr>
          <w:rFonts w:ascii="Trebuchet MS" w:hAnsi="Trebuchet MS"/>
          <w:sz w:val="22"/>
          <w:szCs w:val="22"/>
          <w:lang w:val="en-US"/>
        </w:rPr>
        <w:t>;</w:t>
      </w:r>
      <w:r>
        <w:rPr>
          <w:rFonts w:ascii="Trebuchet MS" w:hAnsi="Trebuchet MS"/>
          <w:sz w:val="22"/>
          <w:szCs w:val="22"/>
        </w:rPr>
        <w:t xml:space="preserve"> </w:t>
      </w:r>
    </w:p>
    <w:p w14:paraId="23CE2944" w14:textId="77777777" w:rsidR="000654CE" w:rsidRDefault="00000000">
      <w:pPr>
        <w:pStyle w:val="ListParagraph"/>
        <w:numPr>
          <w:ilvl w:val="0"/>
          <w:numId w:val="12"/>
        </w:numPr>
        <w:spacing w:before="120" w:after="120" w:line="276" w:lineRule="auto"/>
        <w:ind w:left="1350"/>
        <w:jc w:val="both"/>
        <w:rPr>
          <w:rFonts w:ascii="Trebuchet MS" w:hAnsi="Trebuchet MS"/>
          <w:sz w:val="22"/>
          <w:szCs w:val="22"/>
        </w:rPr>
      </w:pPr>
      <w:r>
        <w:rPr>
          <w:rFonts w:ascii="Trebuchet MS" w:hAnsi="Trebuchet MS"/>
          <w:sz w:val="22"/>
          <w:szCs w:val="22"/>
        </w:rPr>
        <w:t>Cheltuielile eligibile aferente activităților proiectului efectuate după semnarea contractului de finanțare.</w:t>
      </w:r>
    </w:p>
    <w:p w14:paraId="3711E2E1" w14:textId="5181DF6C" w:rsidR="000654CE" w:rsidRDefault="00000000">
      <w:pPr>
        <w:spacing w:before="120" w:after="120" w:line="276" w:lineRule="auto"/>
        <w:ind w:left="720"/>
        <w:jc w:val="both"/>
        <w:rPr>
          <w:rFonts w:ascii="Trebuchet MS" w:hAnsi="Trebuchet MS"/>
          <w:sz w:val="22"/>
          <w:szCs w:val="22"/>
        </w:rPr>
      </w:pPr>
      <w:r>
        <w:rPr>
          <w:rFonts w:ascii="Trebuchet MS" w:hAnsi="Trebuchet MS"/>
          <w:sz w:val="22"/>
          <w:szCs w:val="22"/>
        </w:rPr>
        <w:t>În situația în care beneficiarii solicită plăți în avans, părțile contractante vor încheia Convenția de avans</w:t>
      </w:r>
      <w:r w:rsidR="00D90FB0">
        <w:rPr>
          <w:rFonts w:ascii="Trebuchet MS" w:hAnsi="Trebuchet MS"/>
          <w:sz w:val="22"/>
          <w:szCs w:val="22"/>
        </w:rPr>
        <w:t xml:space="preserve"> - Anexa 5 la prezentul ghid</w:t>
      </w:r>
      <w:r>
        <w:rPr>
          <w:rFonts w:ascii="Trebuchet MS" w:hAnsi="Trebuchet MS"/>
          <w:sz w:val="22"/>
          <w:szCs w:val="22"/>
        </w:rPr>
        <w:t>.</w:t>
      </w:r>
    </w:p>
    <w:p w14:paraId="4439AF06" w14:textId="0BADFE5B" w:rsidR="000654CE" w:rsidRDefault="00000000">
      <w:pPr>
        <w:spacing w:before="120" w:after="120" w:line="276" w:lineRule="auto"/>
        <w:ind w:left="720"/>
        <w:jc w:val="both"/>
        <w:rPr>
          <w:rFonts w:ascii="Trebuchet MS" w:hAnsi="Trebuchet MS"/>
          <w:sz w:val="22"/>
          <w:szCs w:val="22"/>
        </w:rPr>
      </w:pPr>
      <w:r>
        <w:rPr>
          <w:rFonts w:ascii="Trebuchet MS" w:hAnsi="Trebuchet MS"/>
          <w:sz w:val="22"/>
          <w:szCs w:val="22"/>
        </w:rPr>
        <w:t>Beneficiarul poate primi avans numai după constituirea unei garanții de returnare a avansului, printr-o scrisoare de garanție, emisă în condițiile legii de către o societate bancară sau de către o societate de asigurări</w:t>
      </w:r>
      <w:r w:rsidR="00346B9D">
        <w:rPr>
          <w:rFonts w:ascii="Trebuchet MS" w:hAnsi="Trebuchet MS"/>
          <w:sz w:val="22"/>
          <w:szCs w:val="22"/>
        </w:rPr>
        <w:t xml:space="preserve"> aflată în supravegherea Autorității de Supraveghere Financiară</w:t>
      </w:r>
      <w:r w:rsidR="00346B9D">
        <w:rPr>
          <w:rStyle w:val="FootnoteReference"/>
          <w:rFonts w:ascii="Trebuchet MS" w:hAnsi="Trebuchet MS"/>
          <w:sz w:val="22"/>
          <w:szCs w:val="22"/>
        </w:rPr>
        <w:footnoteReference w:id="2"/>
      </w:r>
      <w:r>
        <w:rPr>
          <w:rFonts w:ascii="Trebuchet MS" w:hAnsi="Trebuchet MS"/>
          <w:sz w:val="22"/>
          <w:szCs w:val="22"/>
        </w:rPr>
        <w:t xml:space="preserve">, în cuantumul sumelor solicitate ca avans, în conformitate cu HG nr. 264/2003, republicată, cu modificările și completările ulterioare. </w:t>
      </w:r>
      <w:bookmarkStart w:id="58" w:name="_Hlk149131581"/>
      <w:r>
        <w:rPr>
          <w:rFonts w:ascii="Trebuchet MS" w:hAnsi="Trebuchet MS"/>
          <w:sz w:val="22"/>
          <w:szCs w:val="22"/>
        </w:rPr>
        <w:t>Garanția este irevocabilă, iar scrisoarea de garanție prevede că plata garanției se va executa necondiționat, respectiv la prima cerere a beneficiarului garanției, respectiv MIPE, pe baza declarației acestuia cu privire la culpa persoanei garantate.</w:t>
      </w:r>
      <w:bookmarkEnd w:id="58"/>
      <w:r>
        <w:rPr>
          <w:rFonts w:ascii="Trebuchet MS" w:hAnsi="Trebuchet MS"/>
          <w:sz w:val="22"/>
          <w:szCs w:val="22"/>
        </w:rPr>
        <w:t xml:space="preserve"> Durata de valabilitate a scrisorii de garanție trebuie să acopere perioada pentru care s-a primit avansul la care se adaugă o perioadă de 90 de zile, necesară în vederea autorizării Declarației de utilizare a cererii de transfer de către MIPE</w:t>
      </w:r>
      <w:bookmarkStart w:id="59" w:name="_Hlk147846200"/>
      <w:bookmarkEnd w:id="59"/>
      <w:r>
        <w:rPr>
          <w:rFonts w:ascii="Trebuchet MS" w:hAnsi="Trebuchet MS"/>
          <w:sz w:val="22"/>
          <w:szCs w:val="22"/>
        </w:rPr>
        <w:t xml:space="preserve">. </w:t>
      </w:r>
    </w:p>
    <w:p w14:paraId="32DB8F0C" w14:textId="77777777" w:rsidR="000654CE" w:rsidRDefault="00000000">
      <w:pPr>
        <w:spacing w:before="120" w:after="120" w:line="276" w:lineRule="auto"/>
        <w:ind w:left="720"/>
        <w:jc w:val="both"/>
        <w:rPr>
          <w:rFonts w:ascii="Trebuchet MS" w:hAnsi="Trebuchet MS"/>
          <w:sz w:val="22"/>
          <w:szCs w:val="22"/>
        </w:rPr>
      </w:pPr>
      <w:r>
        <w:rPr>
          <w:rFonts w:ascii="Trebuchet MS" w:hAnsi="Trebuchet MS"/>
          <w:sz w:val="22"/>
          <w:szCs w:val="22"/>
        </w:rPr>
        <w:t>Acordarea unei noi tranșe de avans se poate efectua numai după ce sumele plătite în avans, acordate anterior, au fost justificate integral, prin autorizarea de către MIPE a Declarațiilor de utilizare a cererii de transfer aferente avansului plătit anterior. Sumele reprezentând plăți în avans, neautorizate prin</w:t>
      </w:r>
      <w:r>
        <w:t xml:space="preserve"> </w:t>
      </w:r>
      <w:r>
        <w:rPr>
          <w:rFonts w:ascii="Trebuchet MS" w:hAnsi="Trebuchet MS"/>
          <w:sz w:val="22"/>
          <w:szCs w:val="22"/>
        </w:rPr>
        <w:t>Declarațiile de utilizare a cererii de transfer aferente avansului, în condiţiile prevederilor contractuale, vor fi restituite de beneficiar în termen de 10 zile lucrătoare de la notificarea privind autorizare a ultimei Declarații de utilizare a cererii de transfer transmisă de MIPE.</w:t>
      </w:r>
    </w:p>
    <w:p w14:paraId="2C0B9EE5" w14:textId="77777777" w:rsidR="000654CE" w:rsidRDefault="00000000">
      <w:pPr>
        <w:spacing w:before="120" w:after="120" w:line="276" w:lineRule="auto"/>
        <w:ind w:left="720"/>
        <w:jc w:val="both"/>
        <w:rPr>
          <w:rFonts w:ascii="Trebuchet MS" w:hAnsi="Trebuchet MS"/>
          <w:sz w:val="22"/>
          <w:szCs w:val="22"/>
        </w:rPr>
      </w:pPr>
      <w:r>
        <w:rPr>
          <w:rFonts w:ascii="Trebuchet MS" w:hAnsi="Trebuchet MS"/>
          <w:sz w:val="22"/>
          <w:szCs w:val="22"/>
        </w:rPr>
        <w:t xml:space="preserve">Cererea de transfer distinctă pentru cheltuieli efectuate înainte de semnarea contractului de finanțare/Declarația de utilizare a cererii de transfer, după caz, va fi însoțită de documente justificative care să confirme utilizarea sumelor primite în cererea de transfer conform destinației aprobate de MEAT, după cum urmează, fără a se limita la acestea: </w:t>
      </w:r>
    </w:p>
    <w:p w14:paraId="03FEEC9C" w14:textId="77777777" w:rsidR="000654CE" w:rsidRDefault="00000000">
      <w:pPr>
        <w:pStyle w:val="ListParagraph"/>
        <w:numPr>
          <w:ilvl w:val="0"/>
          <w:numId w:val="11"/>
        </w:numPr>
        <w:spacing w:before="120" w:after="120" w:line="276" w:lineRule="auto"/>
        <w:jc w:val="both"/>
        <w:rPr>
          <w:rFonts w:ascii="Trebuchet MS" w:hAnsi="Trebuchet MS"/>
          <w:sz w:val="22"/>
          <w:szCs w:val="22"/>
        </w:rPr>
      </w:pPr>
      <w:r>
        <w:rPr>
          <w:rFonts w:ascii="Trebuchet MS" w:hAnsi="Trebuchet MS"/>
          <w:sz w:val="22"/>
          <w:szCs w:val="22"/>
        </w:rPr>
        <w:t>Extras de cont din care să rezulte data încasării sumelor aferente cererii de transfer de la MIPE;</w:t>
      </w:r>
    </w:p>
    <w:p w14:paraId="65C7E101" w14:textId="77777777" w:rsidR="000654CE" w:rsidRDefault="00000000">
      <w:pPr>
        <w:pStyle w:val="ListParagraph"/>
        <w:numPr>
          <w:ilvl w:val="0"/>
          <w:numId w:val="11"/>
        </w:numPr>
        <w:spacing w:before="120" w:after="120" w:line="276" w:lineRule="auto"/>
        <w:jc w:val="both"/>
        <w:rPr>
          <w:rFonts w:ascii="Trebuchet MS" w:hAnsi="Trebuchet MS"/>
          <w:sz w:val="22"/>
          <w:szCs w:val="22"/>
        </w:rPr>
      </w:pPr>
      <w:r>
        <w:rPr>
          <w:rFonts w:ascii="Trebuchet MS" w:hAnsi="Trebuchet MS"/>
          <w:sz w:val="22"/>
          <w:szCs w:val="22"/>
        </w:rPr>
        <w:t>Copia „conform cu originalul” a ordinului/ordinelor de plată pentru plata integrală a facturilor din cererea de transfer și extrasele de cont aferente;</w:t>
      </w:r>
    </w:p>
    <w:p w14:paraId="400FD661" w14:textId="77777777" w:rsidR="000654CE" w:rsidRDefault="00000000">
      <w:pPr>
        <w:pStyle w:val="ListParagraph"/>
        <w:numPr>
          <w:ilvl w:val="0"/>
          <w:numId w:val="11"/>
        </w:numPr>
        <w:spacing w:before="120" w:after="120" w:line="276" w:lineRule="auto"/>
        <w:jc w:val="both"/>
        <w:rPr>
          <w:rFonts w:ascii="Trebuchet MS" w:hAnsi="Trebuchet MS"/>
          <w:sz w:val="22"/>
          <w:szCs w:val="22"/>
        </w:rPr>
      </w:pPr>
      <w:r>
        <w:rPr>
          <w:rFonts w:ascii="Trebuchet MS" w:hAnsi="Trebuchet MS"/>
          <w:sz w:val="22"/>
          <w:szCs w:val="22"/>
        </w:rPr>
        <w:t>Documente care atestă înregistrarea în contabilitate a operațiunilor cuprinse în declarație (fișa de cont, balanța de verificare analitică/extras din balanța analitică, fișa mijloacelor fixe/registru imobilizări);</w:t>
      </w:r>
    </w:p>
    <w:p w14:paraId="3AA01A1C" w14:textId="77777777" w:rsidR="000654CE" w:rsidRDefault="00000000">
      <w:pPr>
        <w:pStyle w:val="ListParagraph"/>
        <w:numPr>
          <w:ilvl w:val="0"/>
          <w:numId w:val="11"/>
        </w:numPr>
        <w:spacing w:before="120" w:after="120" w:line="276" w:lineRule="auto"/>
        <w:jc w:val="both"/>
        <w:rPr>
          <w:rFonts w:ascii="Trebuchet MS" w:hAnsi="Trebuchet MS"/>
          <w:sz w:val="22"/>
          <w:szCs w:val="22"/>
        </w:rPr>
      </w:pPr>
      <w:r>
        <w:rPr>
          <w:rFonts w:ascii="Trebuchet MS" w:hAnsi="Trebuchet MS"/>
          <w:sz w:val="22"/>
          <w:szCs w:val="22"/>
        </w:rPr>
        <w:t>Documente de recepție/punere în funcțiune, contracte de servicii, fișe de lucru (worksheets / timesheets), dacă este cazul.</w:t>
      </w:r>
    </w:p>
    <w:p w14:paraId="2B1679F7" w14:textId="77777777" w:rsidR="000654CE" w:rsidRDefault="00000000">
      <w:pPr>
        <w:pStyle w:val="ListParagraph"/>
        <w:numPr>
          <w:ilvl w:val="0"/>
          <w:numId w:val="11"/>
        </w:numPr>
        <w:spacing w:before="120" w:after="120" w:line="276" w:lineRule="auto"/>
        <w:jc w:val="both"/>
        <w:rPr>
          <w:rFonts w:ascii="Trebuchet MS" w:hAnsi="Trebuchet MS"/>
          <w:sz w:val="22"/>
          <w:szCs w:val="22"/>
        </w:rPr>
      </w:pPr>
      <w:r>
        <w:rPr>
          <w:rFonts w:ascii="Trebuchet MS" w:hAnsi="Trebuchet MS"/>
          <w:sz w:val="22"/>
          <w:szCs w:val="22"/>
        </w:rPr>
        <w:t>Contracte de muncă, fișe de pontaj precum și alte documente justificative pentru cheltuielile eligibile de personal și pentru cheltuielile cu utilizarea instrumentelor și echipamentelor.</w:t>
      </w:r>
    </w:p>
    <w:p w14:paraId="1851D1BF" w14:textId="77777777" w:rsidR="000654CE" w:rsidRDefault="00000000">
      <w:pPr>
        <w:spacing w:before="120" w:after="120" w:line="276" w:lineRule="auto"/>
        <w:ind w:left="720"/>
        <w:jc w:val="both"/>
        <w:rPr>
          <w:rFonts w:ascii="Trebuchet MS" w:hAnsi="Trebuchet MS"/>
          <w:sz w:val="22"/>
          <w:szCs w:val="22"/>
        </w:rPr>
      </w:pPr>
      <w:bookmarkStart w:id="60" w:name="_Hlk149132135"/>
      <w:r>
        <w:rPr>
          <w:rFonts w:ascii="Trebuchet MS" w:hAnsi="Trebuchet MS"/>
          <w:sz w:val="22"/>
          <w:szCs w:val="22"/>
        </w:rPr>
        <w:t>Sumele primite pe baza cererilor de transfer nu pot fi utilizate pentru o altă destinație decât cea pentru care au fost acordate și vor fi justificate Declarația de utilizare a cererii de transfer.</w:t>
      </w:r>
    </w:p>
    <w:p w14:paraId="15E85E23" w14:textId="77777777" w:rsidR="000654CE" w:rsidRDefault="00000000">
      <w:pPr>
        <w:spacing w:before="120" w:after="120" w:line="276" w:lineRule="auto"/>
        <w:ind w:left="720"/>
        <w:jc w:val="both"/>
        <w:rPr>
          <w:rFonts w:ascii="Trebuchet MS" w:hAnsi="Trebuchet MS"/>
          <w:sz w:val="22"/>
          <w:szCs w:val="22"/>
        </w:rPr>
      </w:pPr>
      <w:r>
        <w:rPr>
          <w:rFonts w:ascii="Trebuchet MS" w:hAnsi="Trebuchet MS"/>
          <w:sz w:val="22"/>
          <w:szCs w:val="22"/>
        </w:rPr>
        <w:t>Un beneficiar nu va putea transmite o nouă cerere de transfer pentru cheltuieli dacă Declarația de utilizare a cererii de transfer depusă anterior nu este autorizată de către MIPE</w:t>
      </w:r>
      <w:bookmarkEnd w:id="60"/>
      <w:r>
        <w:rPr>
          <w:rFonts w:ascii="Trebuchet MS" w:hAnsi="Trebuchet MS"/>
          <w:sz w:val="22"/>
          <w:szCs w:val="22"/>
        </w:rPr>
        <w:t>.</w:t>
      </w:r>
    </w:p>
    <w:p w14:paraId="7E56F638" w14:textId="77777777" w:rsidR="000654CE" w:rsidRDefault="00000000">
      <w:pPr>
        <w:spacing w:before="120" w:after="120" w:line="276" w:lineRule="auto"/>
        <w:ind w:left="720"/>
        <w:jc w:val="both"/>
      </w:pPr>
      <w:r>
        <w:rPr>
          <w:rFonts w:ascii="Trebuchet MS" w:hAnsi="Trebuchet MS"/>
          <w:sz w:val="22"/>
          <w:szCs w:val="22"/>
        </w:rPr>
        <w:t>În ceea ce privește mecanismul transferului sumelor, MEAT va pune la dispoziția beneficiarilor formularele aferente cererii de transfer distincte, cererii de transfer, precum și modelul declarației de cheltuieli aferentă cererii de transfer; modelul declarației de utilizare a cererii de transfer.</w:t>
      </w:r>
    </w:p>
    <w:p w14:paraId="20F50990" w14:textId="77777777" w:rsidR="000D4D0C" w:rsidRDefault="000D4D0C">
      <w:pPr>
        <w:spacing w:before="120" w:after="120" w:line="276" w:lineRule="auto"/>
        <w:ind w:left="720"/>
        <w:jc w:val="both"/>
        <w:rPr>
          <w:rFonts w:ascii="Trebuchet MS" w:hAnsi="Trebuchet MS"/>
          <w:sz w:val="22"/>
          <w:szCs w:val="22"/>
        </w:rPr>
      </w:pPr>
    </w:p>
    <w:p w14:paraId="6930B4D5" w14:textId="139C539B" w:rsidR="000654CE" w:rsidRDefault="00000000">
      <w:pPr>
        <w:spacing w:before="120" w:after="120" w:line="276" w:lineRule="auto"/>
        <w:ind w:left="720"/>
        <w:jc w:val="both"/>
        <w:rPr>
          <w:rFonts w:ascii="Trebuchet MS" w:hAnsi="Trebuchet MS"/>
          <w:sz w:val="22"/>
          <w:szCs w:val="22"/>
        </w:rPr>
      </w:pPr>
      <w:r>
        <w:rPr>
          <w:rFonts w:ascii="Trebuchet MS" w:hAnsi="Trebuchet MS"/>
          <w:sz w:val="22"/>
          <w:szCs w:val="22"/>
        </w:rPr>
        <w:t>Pentru achizițiile care urmează a fi derulate în cadrul proiectului, beneficiarii vor respecta</w:t>
      </w:r>
      <w:r w:rsidR="000D4D0C" w:rsidRPr="000D4D0C">
        <w:rPr>
          <w:rFonts w:ascii="Trebuchet MS" w:hAnsi="Trebuchet MS"/>
          <w:sz w:val="22"/>
          <w:szCs w:val="22"/>
        </w:rPr>
        <w:t xml:space="preserve"> </w:t>
      </w:r>
      <w:r w:rsidR="003364E1">
        <w:rPr>
          <w:rFonts w:ascii="Trebuchet MS" w:hAnsi="Trebuchet MS"/>
          <w:sz w:val="22"/>
          <w:szCs w:val="22"/>
        </w:rPr>
        <w:t xml:space="preserve">orice </w:t>
      </w:r>
      <w:r w:rsidR="000D4D0C" w:rsidRPr="000D4D0C">
        <w:rPr>
          <w:rFonts w:ascii="Trebuchet MS" w:hAnsi="Trebuchet MS"/>
          <w:sz w:val="22"/>
          <w:szCs w:val="22"/>
        </w:rPr>
        <w:t>prevederi legale și instrucțiuni emise de MIPE</w:t>
      </w:r>
      <w:r w:rsidR="000D4D0C">
        <w:rPr>
          <w:rFonts w:ascii="Trebuchet MS" w:hAnsi="Trebuchet MS"/>
          <w:sz w:val="22"/>
          <w:szCs w:val="22"/>
        </w:rPr>
        <w:t xml:space="preserve"> pentru </w:t>
      </w:r>
      <w:r>
        <w:rPr>
          <w:rFonts w:ascii="Trebuchet MS" w:hAnsi="Trebuchet MS"/>
          <w:sz w:val="22"/>
          <w:szCs w:val="22"/>
        </w:rPr>
        <w:t>derularea procedurilor de achiziție pentru atribuirea contractelor de furnizare de produse, prestare de servicii, execuție de lucrări finanțate din fondurile aferente Mecanismului de Redresare și Reziliență</w:t>
      </w:r>
      <w:r w:rsidR="003364E1">
        <w:rPr>
          <w:rFonts w:ascii="Trebuchet MS" w:hAnsi="Trebuchet MS"/>
          <w:sz w:val="22"/>
          <w:szCs w:val="22"/>
        </w:rPr>
        <w:t>. În prezent, orientări pentru derularea procedurilor de achiziție sunt c</w:t>
      </w:r>
      <w:r w:rsidR="008914A8">
        <w:rPr>
          <w:rFonts w:ascii="Trebuchet MS" w:hAnsi="Trebuchet MS"/>
          <w:sz w:val="22"/>
          <w:szCs w:val="22"/>
        </w:rPr>
        <w:t>uprinse</w:t>
      </w:r>
      <w:r w:rsidR="008914A8" w:rsidRPr="008914A8">
        <w:rPr>
          <w:rFonts w:ascii="Trebuchet MS" w:hAnsi="Trebuchet MS"/>
          <w:sz w:val="22"/>
          <w:szCs w:val="22"/>
        </w:rPr>
        <w:t xml:space="preserve"> </w:t>
      </w:r>
      <w:r w:rsidR="008914A8">
        <w:rPr>
          <w:rFonts w:ascii="Trebuchet MS" w:hAnsi="Trebuchet MS"/>
          <w:sz w:val="22"/>
          <w:szCs w:val="22"/>
        </w:rPr>
        <w:t>în</w:t>
      </w:r>
      <w:r w:rsidR="008914A8" w:rsidRPr="008914A8">
        <w:rPr>
          <w:rFonts w:ascii="Trebuchet MS" w:hAnsi="Trebuchet MS"/>
          <w:sz w:val="22"/>
          <w:szCs w:val="22"/>
        </w:rPr>
        <w:t xml:space="preserve"> </w:t>
      </w:r>
      <w:r w:rsidR="008914A8" w:rsidRPr="008914A8">
        <w:rPr>
          <w:rFonts w:ascii="Trebuchet MS" w:hAnsi="Trebuchet MS"/>
          <w:b/>
          <w:bCs/>
          <w:sz w:val="22"/>
          <w:szCs w:val="22"/>
        </w:rPr>
        <w:t>Îndrumarul metodologic pentru beneficiarii privați aplicabil în derularea procedurilor de achiziție</w:t>
      </w:r>
      <w:r w:rsidR="008914A8" w:rsidRPr="008914A8">
        <w:rPr>
          <w:rFonts w:ascii="Trebuchet MS" w:hAnsi="Trebuchet MS"/>
          <w:sz w:val="22"/>
          <w:szCs w:val="22"/>
        </w:rPr>
        <w:t>,</w:t>
      </w:r>
      <w:r w:rsidR="008914A8">
        <w:rPr>
          <w:rFonts w:ascii="Trebuchet MS" w:hAnsi="Trebuchet MS"/>
          <w:b/>
          <w:bCs/>
          <w:sz w:val="22"/>
          <w:szCs w:val="22"/>
        </w:rPr>
        <w:t xml:space="preserve"> </w:t>
      </w:r>
      <w:r w:rsidR="008914A8" w:rsidRPr="008914A8">
        <w:rPr>
          <w:rFonts w:ascii="Trebuchet MS" w:hAnsi="Trebuchet MS"/>
          <w:sz w:val="22"/>
          <w:szCs w:val="22"/>
        </w:rPr>
        <w:t xml:space="preserve">disponibil la: </w:t>
      </w:r>
      <w:hyperlink r:id="rId12" w:history="1">
        <w:r w:rsidR="008914A8" w:rsidRPr="000F038F">
          <w:rPr>
            <w:rStyle w:val="Hyperlink"/>
            <w:rFonts w:ascii="Trebuchet MS" w:hAnsi="Trebuchet MS"/>
            <w:sz w:val="22"/>
            <w:szCs w:val="22"/>
          </w:rPr>
          <w:t>https://mfe.gov.ro/pnrr-a-fost-actualizat-indrumarul-metodologic-pentru-beneficiarii-privati-aplicabil-in-derularea-procedurilor-de-achizitie</w:t>
        </w:r>
      </w:hyperlink>
      <w:r w:rsidR="008914A8">
        <w:rPr>
          <w:rFonts w:ascii="Trebuchet MS" w:hAnsi="Trebuchet MS"/>
          <w:sz w:val="22"/>
          <w:szCs w:val="22"/>
        </w:rPr>
        <w:t xml:space="preserve">. </w:t>
      </w:r>
    </w:p>
    <w:p w14:paraId="24D4D58B" w14:textId="59D1CE0C" w:rsidR="000654CE" w:rsidRDefault="00C96BF7" w:rsidP="000D4D0C">
      <w:pPr>
        <w:spacing w:before="120" w:after="120" w:line="276" w:lineRule="auto"/>
        <w:ind w:left="720"/>
        <w:jc w:val="both"/>
        <w:rPr>
          <w:rFonts w:ascii="Trebuchet MS" w:hAnsi="Trebuchet MS"/>
          <w:sz w:val="22"/>
          <w:szCs w:val="22"/>
        </w:rPr>
      </w:pPr>
      <w:r>
        <w:rPr>
          <w:rFonts w:ascii="Trebuchet MS" w:hAnsi="Trebuchet MS"/>
          <w:sz w:val="22"/>
          <w:szCs w:val="22"/>
        </w:rPr>
        <w:t xml:space="preserve">După semnarea contractului de finanțare, beneficiarii de finanțare din PNRR aferentă proiectelor PIIEC, vor colecta și furniza date și informații privind beneficiarii reali ai destinatarilor finali ai fondurilor pentru contractori pe platforma proiecte.pnrr.gov.ro. Totodată, beneficiarii au obligația de a informa MEAT de fiecare dată când are loc o modificare a informațiilor privind beneficiarul real, pe toată durata angajamentelor legal încheiate în cadrul PNRR. </w:t>
      </w:r>
    </w:p>
    <w:p w14:paraId="14110A2B" w14:textId="77777777" w:rsidR="000654CE" w:rsidRDefault="00000000" w:rsidP="000D4D0C">
      <w:pPr>
        <w:spacing w:before="120" w:after="120" w:line="276" w:lineRule="auto"/>
        <w:ind w:left="720"/>
        <w:jc w:val="both"/>
        <w:rPr>
          <w:rFonts w:ascii="Trebuchet MS" w:hAnsi="Trebuchet MS"/>
          <w:sz w:val="22"/>
          <w:szCs w:val="22"/>
        </w:rPr>
      </w:pPr>
      <w:r>
        <w:rPr>
          <w:rFonts w:ascii="Trebuchet MS" w:hAnsi="Trebuchet MS"/>
          <w:sz w:val="22"/>
          <w:szCs w:val="22"/>
        </w:rPr>
        <w:t xml:space="preserve">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hyperlink r:id="rId13">
        <w:r>
          <w:rPr>
            <w:rStyle w:val="Hyperlink"/>
            <w:rFonts w:ascii="Trebuchet MS" w:hAnsi="Trebuchet MS"/>
            <w:sz w:val="22"/>
            <w:szCs w:val="22"/>
          </w:rPr>
          <w:t>https://proiecte.pnrr.gov.ro</w:t>
        </w:r>
      </w:hyperlink>
      <w:r>
        <w:rPr>
          <w:rFonts w:ascii="Trebuchet MS" w:hAnsi="Trebuchet MS"/>
          <w:sz w:val="22"/>
          <w:szCs w:val="22"/>
        </w:rPr>
        <w:t>.</w:t>
      </w:r>
    </w:p>
    <w:p w14:paraId="6CBFD0D6" w14:textId="77777777" w:rsidR="000654CE" w:rsidRDefault="00000000" w:rsidP="000D4D0C">
      <w:pPr>
        <w:spacing w:before="120" w:after="120" w:line="276" w:lineRule="auto"/>
        <w:ind w:left="720"/>
        <w:jc w:val="both"/>
        <w:rPr>
          <w:rFonts w:ascii="Trebuchet MS" w:hAnsi="Trebuchet MS"/>
          <w:sz w:val="22"/>
          <w:szCs w:val="22"/>
        </w:rPr>
      </w:pPr>
      <w:r>
        <w:rPr>
          <w:rFonts w:ascii="Trebuchet MS" w:hAnsi="Trebuchet MS"/>
          <w:sz w:val="22"/>
          <w:szCs w:val="22"/>
        </w:rPr>
        <w:t>Beneficiarul are obligația de a permite desfășurarea acțiunilor de monitorizare și control ale MIPE – Coordonator Național, respectiv ale MIPE – Coordonator de reforme și/sau investiții și MEAT – agenție de implementare, cât și a altor autorități naționale și comunitare abilitate, precum și obligația de a pune la dispoziția acestora toate documentele solicitate de acestea.</w:t>
      </w:r>
    </w:p>
    <w:p w14:paraId="56CE1A4A" w14:textId="60DA8F3A" w:rsidR="000654CE" w:rsidRDefault="00000000">
      <w:pPr>
        <w:keepNext/>
        <w:keepLines/>
        <w:shd w:val="clear" w:color="auto" w:fill="BDD6EE" w:themeFill="accent1" w:themeFillTint="66"/>
        <w:spacing w:before="120" w:after="120" w:line="276" w:lineRule="auto"/>
        <w:ind w:left="990" w:hanging="360"/>
        <w:outlineLvl w:val="2"/>
        <w:rPr>
          <w:rFonts w:ascii="Trebuchet MS" w:eastAsiaTheme="majorEastAsia" w:hAnsi="Trebuchet MS" w:cstheme="majorBidi"/>
          <w:b/>
          <w:sz w:val="22"/>
          <w:szCs w:val="22"/>
        </w:rPr>
      </w:pPr>
      <w:bookmarkStart w:id="61" w:name="_Toc149224638"/>
      <w:r>
        <w:rPr>
          <w:rFonts w:ascii="Trebuchet MS" w:eastAsiaTheme="majorEastAsia" w:hAnsi="Trebuchet MS" w:cstheme="majorBidi"/>
          <w:b/>
          <w:sz w:val="22"/>
          <w:szCs w:val="22"/>
        </w:rPr>
        <w:t>3</w:t>
      </w:r>
      <w:bookmarkStart w:id="62" w:name="_Toc144988195"/>
      <w:r>
        <w:rPr>
          <w:rFonts w:ascii="Trebuchet MS" w:eastAsiaTheme="majorEastAsia" w:hAnsi="Trebuchet MS" w:cstheme="majorBidi"/>
          <w:b/>
          <w:sz w:val="22"/>
          <w:szCs w:val="22"/>
        </w:rPr>
        <w:t>.6.3 Transferul sumelor</w:t>
      </w:r>
      <w:bookmarkEnd w:id="61"/>
      <w:bookmarkEnd w:id="62"/>
    </w:p>
    <w:p w14:paraId="3BD36173" w14:textId="77777777" w:rsidR="000654CE" w:rsidRDefault="00000000" w:rsidP="008914A8">
      <w:pPr>
        <w:spacing w:before="120" w:after="120" w:line="276" w:lineRule="auto"/>
        <w:ind w:left="720"/>
        <w:jc w:val="both"/>
        <w:rPr>
          <w:rFonts w:ascii="Trebuchet MS" w:hAnsi="Trebuchet MS"/>
          <w:sz w:val="22"/>
          <w:szCs w:val="22"/>
        </w:rPr>
      </w:pPr>
      <w:r>
        <w:rPr>
          <w:rFonts w:ascii="Trebuchet MS" w:hAnsi="Trebuchet MS"/>
          <w:sz w:val="22"/>
          <w:szCs w:val="22"/>
        </w:rPr>
        <w:t>Transferul sumelor solicitate de către Beneficiar, care au fost autorizate la plată de către MEAT, se va realiza de către MIPE</w:t>
      </w:r>
      <w:r>
        <w:t xml:space="preserve"> </w:t>
      </w:r>
      <w:r>
        <w:rPr>
          <w:rFonts w:ascii="Trebuchet MS" w:hAnsi="Trebuchet MS"/>
          <w:sz w:val="22"/>
          <w:szCs w:val="22"/>
        </w:rPr>
        <w:t xml:space="preserve">conform legislației în vigoare aferentă fondurilor europene alocate României prin Mecanismul de redresare și reziliență. </w:t>
      </w:r>
    </w:p>
    <w:p w14:paraId="374E4714" w14:textId="46AE60D9" w:rsidR="000654CE" w:rsidRDefault="00000000">
      <w:pPr>
        <w:pStyle w:val="Heading2"/>
        <w:shd w:val="clear" w:color="auto" w:fill="BDD6EE" w:themeFill="accent1" w:themeFillTint="66"/>
        <w:spacing w:before="120" w:after="120" w:line="276" w:lineRule="auto"/>
        <w:ind w:left="990" w:hanging="360"/>
        <w:rPr>
          <w:rFonts w:ascii="Trebuchet MS" w:hAnsi="Trebuchet MS"/>
          <w:b/>
          <w:color w:val="auto"/>
          <w:sz w:val="22"/>
          <w:szCs w:val="22"/>
        </w:rPr>
      </w:pPr>
      <w:bookmarkStart w:id="63" w:name="_Toc149224639"/>
      <w:r>
        <w:rPr>
          <w:rFonts w:ascii="Trebuchet MS" w:hAnsi="Trebuchet MS"/>
          <w:b/>
          <w:color w:val="auto"/>
          <w:sz w:val="22"/>
          <w:szCs w:val="22"/>
        </w:rPr>
        <w:t>4</w:t>
      </w:r>
      <w:bookmarkStart w:id="64" w:name="_Toc144988196"/>
      <w:r>
        <w:rPr>
          <w:rFonts w:ascii="Trebuchet MS" w:hAnsi="Trebuchet MS"/>
          <w:b/>
          <w:color w:val="auto"/>
          <w:sz w:val="22"/>
          <w:szCs w:val="22"/>
        </w:rPr>
        <w:t>.  Mecanisme de gestionare a riscurilor de implementare</w:t>
      </w:r>
      <w:bookmarkEnd w:id="63"/>
      <w:bookmarkEnd w:id="64"/>
    </w:p>
    <w:p w14:paraId="51099CFC" w14:textId="77777777" w:rsidR="000654CE" w:rsidRDefault="00000000" w:rsidP="008914A8">
      <w:pPr>
        <w:tabs>
          <w:tab w:val="left" w:pos="9163"/>
        </w:tabs>
        <w:spacing w:before="120" w:after="120" w:line="276" w:lineRule="auto"/>
        <w:ind w:left="720" w:right="39"/>
        <w:jc w:val="both"/>
        <w:rPr>
          <w:rFonts w:ascii="Trebuchet MS" w:hAnsi="Trebuchet MS"/>
          <w:sz w:val="22"/>
          <w:szCs w:val="22"/>
        </w:rPr>
      </w:pPr>
      <w:r>
        <w:rPr>
          <w:rFonts w:ascii="Trebuchet MS" w:hAnsi="Trebuchet MS"/>
          <w:sz w:val="22"/>
          <w:szCs w:val="22"/>
        </w:rPr>
        <w:t>În cazul proiectelor de cercetare, dezvoltare și inovare în cadrul PIIEC, riscurile de implementare sunt multiple, menționate în Decizia C (2023) 3817 din 8 iunie 2023: tehnologic, economic, financiar și alte riscuri de implementare.</w:t>
      </w:r>
    </w:p>
    <w:p w14:paraId="78D85DC3" w14:textId="63724B38" w:rsidR="000654CE" w:rsidRDefault="00000000" w:rsidP="008914A8">
      <w:pPr>
        <w:tabs>
          <w:tab w:val="left" w:pos="9163"/>
        </w:tabs>
        <w:spacing w:before="120" w:after="120" w:line="276" w:lineRule="auto"/>
        <w:ind w:left="720" w:right="39"/>
        <w:jc w:val="both"/>
        <w:rPr>
          <w:rFonts w:ascii="Trebuchet MS" w:hAnsi="Trebuchet MS"/>
          <w:sz w:val="22"/>
          <w:szCs w:val="22"/>
        </w:rPr>
      </w:pPr>
      <w:r>
        <w:rPr>
          <w:rFonts w:ascii="Trebuchet MS" w:hAnsi="Trebuchet MS"/>
          <w:sz w:val="22"/>
          <w:szCs w:val="22"/>
        </w:rPr>
        <w:t>Materializarea riscului tehnologic, prin care tehnologiile dezvoltate nu ating performanța preconizată, nu sunt sustenabile, necesită un cost mai mare sau au nevoie de alte echipamente industriale pentru a putea fi exploatate, poate genera prelungirea duratei și costuri suplimentare. Riscul financiar și economic este accentuat de valorile mari ale finanțării necesare, de colaborări și dependențe în cadrul mecanismului PIIEC, dar și de incapacitatea industriilor de a integra noile tehnologii rezultate în cadrul PIIEC. Riscul financiar poate fi atenuat prin acordarea sprijin public participanților la PIIEC, sub forma ajutoarelor de stat aprobate de Comisia Europeană, într-o manieră coordonată.</w:t>
      </w:r>
    </w:p>
    <w:p w14:paraId="1F920976" w14:textId="77777777" w:rsidR="000654CE" w:rsidRDefault="00000000" w:rsidP="008914A8">
      <w:pPr>
        <w:tabs>
          <w:tab w:val="left" w:pos="9163"/>
        </w:tabs>
        <w:spacing w:before="120" w:after="120" w:line="276" w:lineRule="auto"/>
        <w:ind w:left="720" w:right="39"/>
        <w:jc w:val="both"/>
        <w:rPr>
          <w:rFonts w:ascii="Trebuchet MS" w:hAnsi="Trebuchet MS"/>
          <w:sz w:val="22"/>
          <w:szCs w:val="22"/>
        </w:rPr>
      </w:pPr>
      <w:r>
        <w:rPr>
          <w:rFonts w:ascii="Trebuchet MS" w:hAnsi="Trebuchet MS"/>
          <w:sz w:val="22"/>
          <w:szCs w:val="22"/>
        </w:rPr>
        <w:t xml:space="preserve">Alte riscuri sunt generate de termenul lung de implementare și de posibile schimbări ale condițiilor de implementare, relațiilor de colaborare. </w:t>
      </w:r>
    </w:p>
    <w:p w14:paraId="4081C504" w14:textId="77777777" w:rsidR="000654CE" w:rsidRDefault="00000000" w:rsidP="008914A8">
      <w:pPr>
        <w:tabs>
          <w:tab w:val="left" w:pos="9163"/>
        </w:tabs>
        <w:spacing w:before="120" w:after="120" w:line="276" w:lineRule="auto"/>
        <w:ind w:left="720" w:right="39"/>
        <w:jc w:val="both"/>
        <w:rPr>
          <w:rFonts w:ascii="Trebuchet MS" w:hAnsi="Trebuchet MS"/>
          <w:sz w:val="22"/>
          <w:szCs w:val="22"/>
        </w:rPr>
      </w:pPr>
      <w:r>
        <w:rPr>
          <w:rFonts w:ascii="Trebuchet MS" w:hAnsi="Trebuchet MS"/>
          <w:sz w:val="22"/>
          <w:szCs w:val="22"/>
        </w:rPr>
        <w:t>Schimbul de cele mai bune practici, de know-how și de rezultate prin intermediul multiplelor colaborări stabilite în cadrul IPCEI ME/CT, precum și cu participanții asociați și partenerii indirecți, are ca scop să permită întreprinderilor participante să depășească riscurile tehnologice implicate, precum și să găsească primii adoptatori ai tehnologiilor inovatoare cu un nivel redus de riscuri, accelerând astfel punerea în aplicare a proiectelor individuale și minimizând riscurile economice sau financiare pe care le-ar fi creat eventualele întârzieri.</w:t>
      </w:r>
    </w:p>
    <w:p w14:paraId="4D6FF96D" w14:textId="77777777" w:rsidR="000654CE" w:rsidRDefault="00000000" w:rsidP="008914A8">
      <w:pPr>
        <w:tabs>
          <w:tab w:val="left" w:pos="9163"/>
        </w:tabs>
        <w:spacing w:before="120" w:after="120" w:line="276" w:lineRule="auto"/>
        <w:ind w:left="720" w:right="39"/>
        <w:jc w:val="both"/>
        <w:rPr>
          <w:rFonts w:ascii="Trebuchet MS" w:hAnsi="Trebuchet MS"/>
          <w:sz w:val="22"/>
          <w:szCs w:val="22"/>
        </w:rPr>
      </w:pPr>
      <w:r>
        <w:rPr>
          <w:rFonts w:ascii="Trebuchet MS" w:hAnsi="Trebuchet MS"/>
          <w:sz w:val="22"/>
          <w:szCs w:val="22"/>
        </w:rPr>
        <w:t>Solicitanții vor completa analiza riscurilor identificate și măsuri de diminuare sau prevenire a realizării acestora în cererea de finanțare (secțiunea 4.2).</w:t>
      </w:r>
    </w:p>
    <w:p w14:paraId="1A4F069B" w14:textId="00E4EE87" w:rsidR="000654CE" w:rsidRDefault="00803BCB">
      <w:pPr>
        <w:pStyle w:val="Heading1"/>
        <w:shd w:val="clear" w:color="auto" w:fill="BDD6EE" w:themeFill="accent1" w:themeFillTint="66"/>
        <w:tabs>
          <w:tab w:val="left" w:pos="9163"/>
        </w:tabs>
        <w:spacing w:before="120" w:after="120" w:line="276" w:lineRule="auto"/>
        <w:ind w:left="720"/>
        <w:rPr>
          <w:rFonts w:ascii="Trebuchet MS" w:hAnsi="Trebuchet MS"/>
          <w:b/>
          <w:color w:val="auto"/>
          <w:sz w:val="22"/>
          <w:szCs w:val="22"/>
        </w:rPr>
      </w:pPr>
      <w:bookmarkStart w:id="65" w:name="__RefHeading___Toc27740_39577956292"/>
      <w:bookmarkStart w:id="66" w:name="_Toc149224640"/>
      <w:bookmarkEnd w:id="65"/>
      <w:r>
        <w:rPr>
          <w:rFonts w:ascii="Trebuchet MS" w:hAnsi="Trebuchet MS"/>
          <w:b/>
          <w:color w:val="auto"/>
          <w:sz w:val="22"/>
          <w:szCs w:val="22"/>
        </w:rPr>
        <w:t>5. Contribuția investiției la obiectivele asumate pentru realizarea indicatorilor din domeniul climei și din domeniul digital</w:t>
      </w:r>
      <w:bookmarkStart w:id="67" w:name="_Toc1449881972"/>
      <w:bookmarkEnd w:id="66"/>
      <w:bookmarkEnd w:id="67"/>
    </w:p>
    <w:p w14:paraId="64BD39E7" w14:textId="77777777" w:rsidR="000654CE" w:rsidRDefault="00000000" w:rsidP="008914A8">
      <w:pPr>
        <w:tabs>
          <w:tab w:val="left" w:pos="10252"/>
        </w:tabs>
        <w:spacing w:before="120" w:after="120" w:line="276" w:lineRule="auto"/>
        <w:ind w:left="720" w:right="284"/>
        <w:rPr>
          <w:rFonts w:ascii="Trebuchet MS" w:hAnsi="Trebuchet MS"/>
          <w:sz w:val="22"/>
          <w:szCs w:val="22"/>
        </w:rPr>
      </w:pPr>
      <w:r>
        <w:rPr>
          <w:rFonts w:ascii="Trebuchet MS" w:hAnsi="Trebuchet MS"/>
          <w:sz w:val="22"/>
          <w:szCs w:val="22"/>
        </w:rPr>
        <w:t>Suma alocată apelului deschis prin prezentul ghid contribuie în proporție de 100% la obiectivele asumate pentru realizarea indicatorilor din domeniul digital.</w:t>
      </w:r>
    </w:p>
    <w:p w14:paraId="5CB0548C" w14:textId="77777777" w:rsidR="00637589" w:rsidRDefault="00637589">
      <w:pPr>
        <w:tabs>
          <w:tab w:val="left" w:pos="10252"/>
        </w:tabs>
        <w:spacing w:before="120" w:after="120" w:line="276" w:lineRule="auto"/>
        <w:ind w:left="990" w:right="284"/>
        <w:rPr>
          <w:rFonts w:ascii="Trebuchet MS" w:hAnsi="Trebuchet MS"/>
          <w:sz w:val="22"/>
          <w:szCs w:val="22"/>
        </w:rPr>
      </w:pPr>
    </w:p>
    <w:p w14:paraId="4A634BB4" w14:textId="1F47FCC8" w:rsidR="000654CE" w:rsidRDefault="00803BCB">
      <w:pPr>
        <w:pStyle w:val="Heading1"/>
        <w:shd w:val="clear" w:color="auto" w:fill="BDD6EE" w:themeFill="accent1" w:themeFillTint="66"/>
        <w:spacing w:before="120" w:after="120" w:line="276" w:lineRule="auto"/>
        <w:ind w:left="720"/>
        <w:rPr>
          <w:rFonts w:ascii="Trebuchet MS" w:hAnsi="Trebuchet MS"/>
          <w:b/>
          <w:color w:val="auto"/>
          <w:sz w:val="22"/>
          <w:szCs w:val="22"/>
        </w:rPr>
      </w:pPr>
      <w:bookmarkStart w:id="68" w:name="__RefHeading___Toc27740_39577956291"/>
      <w:bookmarkStart w:id="69" w:name="_Toc149224641"/>
      <w:bookmarkEnd w:id="68"/>
      <w:r>
        <w:rPr>
          <w:rFonts w:ascii="Trebuchet MS" w:hAnsi="Trebuchet MS"/>
          <w:b/>
          <w:color w:val="auto"/>
          <w:sz w:val="22"/>
          <w:szCs w:val="22"/>
        </w:rPr>
        <w:t xml:space="preserve">6. </w:t>
      </w:r>
      <w:bookmarkStart w:id="70" w:name="_Toc144988197"/>
      <w:r>
        <w:rPr>
          <w:rFonts w:ascii="Trebuchet MS" w:hAnsi="Trebuchet MS"/>
          <w:b/>
          <w:color w:val="auto"/>
          <w:sz w:val="22"/>
          <w:szCs w:val="22"/>
        </w:rPr>
        <w:t>Lista anexe</w:t>
      </w:r>
      <w:bookmarkEnd w:id="69"/>
      <w:bookmarkEnd w:id="70"/>
    </w:p>
    <w:p w14:paraId="27F0BA4E" w14:textId="5D3A3746" w:rsidR="00DC3B06" w:rsidRDefault="00000000" w:rsidP="00DC3B06">
      <w:pPr>
        <w:tabs>
          <w:tab w:val="left" w:pos="9163"/>
        </w:tabs>
        <w:spacing w:before="120" w:after="120" w:line="276" w:lineRule="auto"/>
        <w:ind w:left="990" w:right="284"/>
        <w:rPr>
          <w:rFonts w:ascii="Trebuchet MS" w:hAnsi="Trebuchet MS"/>
          <w:sz w:val="22"/>
          <w:szCs w:val="22"/>
        </w:rPr>
      </w:pPr>
      <w:r>
        <w:rPr>
          <w:rFonts w:ascii="Trebuchet MS" w:hAnsi="Trebuchet MS"/>
          <w:sz w:val="22"/>
          <w:szCs w:val="22"/>
        </w:rPr>
        <w:t xml:space="preserve">Anexa 1– Model Cerere de finanțare </w:t>
      </w:r>
      <w:r w:rsidR="006C016D">
        <w:rPr>
          <w:rFonts w:ascii="Trebuchet MS" w:hAnsi="Trebuchet MS"/>
          <w:sz w:val="22"/>
          <w:szCs w:val="22"/>
        </w:rPr>
        <w:t>și anexele acesteia:</w:t>
      </w:r>
    </w:p>
    <w:p w14:paraId="7AB774FF" w14:textId="1AF6E278" w:rsidR="006C016D" w:rsidRPr="00DC3B06" w:rsidRDefault="006C016D" w:rsidP="006C016D">
      <w:pPr>
        <w:pStyle w:val="ListParagraph"/>
        <w:numPr>
          <w:ilvl w:val="0"/>
          <w:numId w:val="20"/>
        </w:numPr>
        <w:tabs>
          <w:tab w:val="left" w:pos="1800"/>
        </w:tabs>
        <w:spacing w:before="120" w:after="120" w:line="276" w:lineRule="auto"/>
        <w:ind w:right="284"/>
        <w:rPr>
          <w:rFonts w:ascii="Trebuchet MS" w:hAnsi="Trebuchet MS"/>
          <w:sz w:val="22"/>
          <w:szCs w:val="22"/>
        </w:rPr>
      </w:pPr>
      <w:r w:rsidRPr="00DC3B06">
        <w:rPr>
          <w:rFonts w:ascii="Trebuchet MS" w:hAnsi="Trebuchet MS"/>
          <w:sz w:val="22"/>
          <w:szCs w:val="22"/>
        </w:rPr>
        <w:t>Portofoliul de proiect – (Project Portfolio) – Anexa la cererea de finanțare;</w:t>
      </w:r>
    </w:p>
    <w:p w14:paraId="6B106421" w14:textId="466BE851" w:rsidR="006C016D" w:rsidRPr="00DC3B06" w:rsidRDefault="006C016D" w:rsidP="006C016D">
      <w:pPr>
        <w:pStyle w:val="ListParagraph"/>
        <w:numPr>
          <w:ilvl w:val="0"/>
          <w:numId w:val="20"/>
        </w:numPr>
        <w:tabs>
          <w:tab w:val="left" w:pos="1800"/>
        </w:tabs>
        <w:spacing w:before="120" w:after="120" w:line="276" w:lineRule="auto"/>
        <w:ind w:right="284"/>
        <w:rPr>
          <w:rFonts w:ascii="Trebuchet MS" w:hAnsi="Trebuchet MS"/>
          <w:sz w:val="22"/>
          <w:szCs w:val="22"/>
        </w:rPr>
      </w:pPr>
      <w:r w:rsidRPr="00DC3B06">
        <w:rPr>
          <w:rFonts w:ascii="Trebuchet MS" w:hAnsi="Trebuchet MS"/>
          <w:sz w:val="22"/>
          <w:szCs w:val="22"/>
        </w:rPr>
        <w:t>Deficitul de finanțare (Funding Gap) – Anexa la cererea de finanțare;</w:t>
      </w:r>
    </w:p>
    <w:p w14:paraId="6EDE375A" w14:textId="7A72F711" w:rsidR="006C016D" w:rsidRPr="00DC3B06" w:rsidRDefault="006C016D" w:rsidP="006C016D">
      <w:pPr>
        <w:pStyle w:val="ListParagraph"/>
        <w:numPr>
          <w:ilvl w:val="0"/>
          <w:numId w:val="20"/>
        </w:numPr>
        <w:tabs>
          <w:tab w:val="left" w:pos="1800"/>
        </w:tabs>
        <w:spacing w:before="120" w:after="120" w:line="276" w:lineRule="auto"/>
        <w:ind w:right="284"/>
        <w:rPr>
          <w:rFonts w:ascii="Trebuchet MS" w:hAnsi="Trebuchet MS"/>
          <w:sz w:val="22"/>
          <w:szCs w:val="22"/>
        </w:rPr>
      </w:pPr>
      <w:r w:rsidRPr="00DC3B06">
        <w:rPr>
          <w:rFonts w:ascii="Trebuchet MS" w:hAnsi="Trebuchet MS"/>
          <w:sz w:val="22"/>
          <w:szCs w:val="22"/>
        </w:rPr>
        <w:t>Lista codurilor activităților prin care vor fi generate produsele (CAEN/PRODCOM) – Anexa la cererea de finanțare;</w:t>
      </w:r>
    </w:p>
    <w:p w14:paraId="5DFE7127" w14:textId="61A4BCD6" w:rsidR="006C016D" w:rsidRPr="00DC3B06" w:rsidRDefault="006C016D" w:rsidP="006C016D">
      <w:pPr>
        <w:pStyle w:val="ListParagraph"/>
        <w:numPr>
          <w:ilvl w:val="0"/>
          <w:numId w:val="20"/>
        </w:numPr>
        <w:tabs>
          <w:tab w:val="left" w:pos="1800"/>
        </w:tabs>
        <w:spacing w:before="120" w:after="120" w:line="276" w:lineRule="auto"/>
        <w:ind w:right="284"/>
        <w:rPr>
          <w:rFonts w:ascii="Trebuchet MS" w:hAnsi="Trebuchet MS"/>
          <w:sz w:val="22"/>
          <w:szCs w:val="22"/>
        </w:rPr>
      </w:pPr>
      <w:r w:rsidRPr="00DC3B06">
        <w:rPr>
          <w:rFonts w:ascii="Trebuchet MS" w:hAnsi="Trebuchet MS"/>
          <w:sz w:val="22"/>
          <w:szCs w:val="22"/>
        </w:rPr>
        <w:t>Fișa de proiect a PD (Project factsheet Direct Participant) – Anexa la cererea de finanțare;</w:t>
      </w:r>
    </w:p>
    <w:p w14:paraId="0DA6867B" w14:textId="1D675B0A" w:rsidR="00DC3B06" w:rsidRDefault="00674490" w:rsidP="00DC3B06">
      <w:pPr>
        <w:tabs>
          <w:tab w:val="left" w:pos="9163"/>
        </w:tabs>
        <w:spacing w:before="120" w:after="120" w:line="276" w:lineRule="auto"/>
        <w:ind w:left="990" w:right="284"/>
        <w:rPr>
          <w:rFonts w:ascii="Trebuchet MS" w:hAnsi="Trebuchet MS"/>
          <w:sz w:val="22"/>
          <w:szCs w:val="22"/>
        </w:rPr>
      </w:pPr>
      <w:r w:rsidRPr="00674490">
        <w:rPr>
          <w:rFonts w:ascii="Trebuchet MS" w:hAnsi="Trebuchet MS"/>
          <w:sz w:val="22"/>
          <w:szCs w:val="22"/>
        </w:rPr>
        <w:t>Anexa</w:t>
      </w:r>
      <w:r w:rsidR="00DC3B06">
        <w:rPr>
          <w:rFonts w:ascii="Trebuchet MS" w:hAnsi="Trebuchet MS"/>
          <w:sz w:val="22"/>
          <w:szCs w:val="22"/>
        </w:rPr>
        <w:t xml:space="preserve"> 2 - Formulare anexă la cererea de finanțare: </w:t>
      </w:r>
    </w:p>
    <w:p w14:paraId="7F4FAF8F" w14:textId="19FC67CE" w:rsidR="00674490" w:rsidRPr="00674490" w:rsidRDefault="00674490" w:rsidP="00DC3B06">
      <w:pPr>
        <w:pStyle w:val="ListParagraph"/>
        <w:numPr>
          <w:ilvl w:val="1"/>
          <w:numId w:val="20"/>
        </w:numPr>
        <w:tabs>
          <w:tab w:val="left" w:pos="9163"/>
        </w:tabs>
        <w:spacing w:before="120" w:after="120" w:line="276" w:lineRule="auto"/>
        <w:ind w:right="284"/>
        <w:rPr>
          <w:rFonts w:ascii="Trebuchet MS" w:hAnsi="Trebuchet MS"/>
          <w:sz w:val="22"/>
          <w:szCs w:val="22"/>
        </w:rPr>
      </w:pPr>
      <w:r w:rsidRPr="00674490">
        <w:rPr>
          <w:rFonts w:ascii="Trebuchet MS" w:hAnsi="Trebuchet MS"/>
          <w:sz w:val="22"/>
          <w:szCs w:val="22"/>
        </w:rPr>
        <w:t>Model A Declarația de angajament;</w:t>
      </w:r>
    </w:p>
    <w:p w14:paraId="2F0EF311" w14:textId="13BC44B6" w:rsidR="00674490" w:rsidRPr="00674490" w:rsidRDefault="00674490" w:rsidP="00DC3B06">
      <w:pPr>
        <w:pStyle w:val="ListParagraph"/>
        <w:numPr>
          <w:ilvl w:val="1"/>
          <w:numId w:val="20"/>
        </w:numPr>
        <w:tabs>
          <w:tab w:val="left" w:pos="9163"/>
        </w:tabs>
        <w:spacing w:before="120" w:after="120" w:line="276" w:lineRule="auto"/>
        <w:ind w:right="284"/>
        <w:rPr>
          <w:rFonts w:ascii="Trebuchet MS" w:hAnsi="Trebuchet MS"/>
          <w:sz w:val="22"/>
          <w:szCs w:val="22"/>
        </w:rPr>
      </w:pPr>
      <w:r w:rsidRPr="00674490">
        <w:rPr>
          <w:rFonts w:ascii="Trebuchet MS" w:hAnsi="Trebuchet MS"/>
          <w:sz w:val="22"/>
          <w:szCs w:val="22"/>
        </w:rPr>
        <w:t xml:space="preserve">Model B Declarația de eligibilitate; </w:t>
      </w:r>
    </w:p>
    <w:p w14:paraId="6B8F9F3A" w14:textId="43776F7F" w:rsidR="00674490" w:rsidRPr="00674490" w:rsidRDefault="00674490" w:rsidP="00DC3B06">
      <w:pPr>
        <w:pStyle w:val="ListParagraph"/>
        <w:numPr>
          <w:ilvl w:val="1"/>
          <w:numId w:val="20"/>
        </w:numPr>
        <w:tabs>
          <w:tab w:val="left" w:pos="9163"/>
        </w:tabs>
        <w:spacing w:before="120" w:after="120" w:line="276" w:lineRule="auto"/>
        <w:ind w:right="284"/>
        <w:rPr>
          <w:rFonts w:ascii="Trebuchet MS" w:hAnsi="Trebuchet MS"/>
          <w:sz w:val="22"/>
          <w:szCs w:val="22"/>
        </w:rPr>
      </w:pPr>
      <w:r w:rsidRPr="00674490">
        <w:rPr>
          <w:rFonts w:ascii="Trebuchet MS" w:hAnsi="Trebuchet MS"/>
          <w:sz w:val="22"/>
          <w:szCs w:val="22"/>
        </w:rPr>
        <w:t xml:space="preserve">Model C Declarația privind eligibilitatea TVA;  </w:t>
      </w:r>
    </w:p>
    <w:p w14:paraId="7FDC5BEB" w14:textId="3EB56239" w:rsidR="00674490" w:rsidRPr="00674490" w:rsidRDefault="00674490" w:rsidP="00DC3B06">
      <w:pPr>
        <w:pStyle w:val="ListParagraph"/>
        <w:numPr>
          <w:ilvl w:val="1"/>
          <w:numId w:val="20"/>
        </w:numPr>
        <w:tabs>
          <w:tab w:val="left" w:pos="9163"/>
        </w:tabs>
        <w:spacing w:before="120" w:after="120" w:line="276" w:lineRule="auto"/>
        <w:ind w:right="284"/>
        <w:rPr>
          <w:rFonts w:ascii="Trebuchet MS" w:hAnsi="Trebuchet MS"/>
          <w:sz w:val="22"/>
          <w:szCs w:val="22"/>
        </w:rPr>
      </w:pPr>
      <w:r w:rsidRPr="00674490">
        <w:rPr>
          <w:rFonts w:ascii="Trebuchet MS" w:hAnsi="Trebuchet MS"/>
          <w:sz w:val="22"/>
          <w:szCs w:val="22"/>
        </w:rPr>
        <w:t xml:space="preserve">Model D Consimțământ privind prelucrarea datelor cu caracter personal; </w:t>
      </w:r>
    </w:p>
    <w:p w14:paraId="14F602B4" w14:textId="77777777" w:rsidR="00DC3B06" w:rsidRDefault="00DC3B06" w:rsidP="00DC3B06">
      <w:pPr>
        <w:pStyle w:val="ListParagraph"/>
        <w:tabs>
          <w:tab w:val="left" w:pos="9163"/>
        </w:tabs>
        <w:spacing w:before="120" w:after="120" w:line="276" w:lineRule="auto"/>
        <w:ind w:left="2070" w:right="284"/>
        <w:rPr>
          <w:rFonts w:ascii="Trebuchet MS" w:hAnsi="Trebuchet MS"/>
          <w:sz w:val="22"/>
          <w:szCs w:val="22"/>
        </w:rPr>
      </w:pPr>
      <w:r>
        <w:rPr>
          <w:rFonts w:ascii="Trebuchet MS" w:hAnsi="Trebuchet MS"/>
          <w:sz w:val="22"/>
          <w:szCs w:val="22"/>
        </w:rPr>
        <w:t xml:space="preserve">e. </w:t>
      </w:r>
      <w:r w:rsidR="00674490" w:rsidRPr="00674490">
        <w:rPr>
          <w:rFonts w:ascii="Trebuchet MS" w:hAnsi="Trebuchet MS"/>
          <w:sz w:val="22"/>
          <w:szCs w:val="22"/>
        </w:rPr>
        <w:t>Model E Declarația privind evitarea conflictelor de interese, a fraudei, corupției și a dublei finanțări,</w:t>
      </w:r>
    </w:p>
    <w:p w14:paraId="5E5C0ABC" w14:textId="66D5038C" w:rsidR="000654CE" w:rsidRDefault="00DC3B06" w:rsidP="00DC3B06">
      <w:pPr>
        <w:pStyle w:val="ListParagraph"/>
        <w:tabs>
          <w:tab w:val="left" w:pos="9163"/>
        </w:tabs>
        <w:spacing w:before="120" w:after="120" w:line="276" w:lineRule="auto"/>
        <w:ind w:left="2070" w:right="284"/>
        <w:rPr>
          <w:rFonts w:ascii="Trebuchet MS" w:hAnsi="Trebuchet MS"/>
          <w:sz w:val="22"/>
          <w:szCs w:val="22"/>
        </w:rPr>
      </w:pPr>
      <w:r w:rsidRPr="00DC3B06">
        <w:rPr>
          <w:rFonts w:ascii="Trebuchet MS" w:hAnsi="Trebuchet MS"/>
          <w:sz w:val="22"/>
          <w:szCs w:val="22"/>
        </w:rPr>
        <w:t>f.</w:t>
      </w:r>
      <w:r w:rsidR="00674490" w:rsidRPr="00DC3B06">
        <w:rPr>
          <w:rFonts w:ascii="Trebuchet MS" w:hAnsi="Trebuchet MS"/>
          <w:sz w:val="22"/>
          <w:szCs w:val="22"/>
        </w:rPr>
        <w:t xml:space="preserve"> Model F Declarația privind respectarea principiului DNSH,</w:t>
      </w:r>
    </w:p>
    <w:p w14:paraId="22B74AC2" w14:textId="71AB40B8" w:rsidR="00C54A0B" w:rsidRDefault="00C54A0B" w:rsidP="00DC3B06">
      <w:pPr>
        <w:pStyle w:val="ListParagraph"/>
        <w:tabs>
          <w:tab w:val="left" w:pos="9163"/>
        </w:tabs>
        <w:spacing w:before="120" w:after="120" w:line="276" w:lineRule="auto"/>
        <w:ind w:left="2070" w:right="284"/>
        <w:rPr>
          <w:rFonts w:ascii="Trebuchet MS" w:hAnsi="Trebuchet MS"/>
          <w:sz w:val="22"/>
          <w:szCs w:val="22"/>
        </w:rPr>
      </w:pPr>
      <w:r>
        <w:rPr>
          <w:rFonts w:ascii="Trebuchet MS" w:hAnsi="Trebuchet MS"/>
          <w:sz w:val="22"/>
          <w:szCs w:val="22"/>
        </w:rPr>
        <w:t xml:space="preserve">g. </w:t>
      </w:r>
      <w:r w:rsidRPr="008449EB">
        <w:rPr>
          <w:rFonts w:ascii="Trebuchet MS" w:hAnsi="Trebuchet MS"/>
          <w:sz w:val="22"/>
          <w:szCs w:val="22"/>
        </w:rPr>
        <w:t>Model G</w:t>
      </w:r>
      <w:r>
        <w:rPr>
          <w:rFonts w:ascii="Trebuchet MS" w:hAnsi="Trebuchet MS"/>
          <w:sz w:val="22"/>
          <w:szCs w:val="22"/>
        </w:rPr>
        <w:t xml:space="preserve"> Declarația pe proprie răspundere privind ajutoarele de stat/ de minimis primite.</w:t>
      </w:r>
      <w:r w:rsidRPr="008449EB">
        <w:rPr>
          <w:rFonts w:ascii="Trebuchet MS" w:hAnsi="Trebuchet MS"/>
          <w:sz w:val="22"/>
          <w:szCs w:val="22"/>
        </w:rPr>
        <w:t xml:space="preserve"> </w:t>
      </w:r>
    </w:p>
    <w:p w14:paraId="0A73A608" w14:textId="77777777" w:rsidR="00266A25" w:rsidRDefault="00266A25" w:rsidP="00266A25">
      <w:pPr>
        <w:pStyle w:val="ListParagraph"/>
        <w:tabs>
          <w:tab w:val="left" w:pos="9163"/>
        </w:tabs>
        <w:spacing w:before="120" w:after="120" w:line="276" w:lineRule="auto"/>
        <w:ind w:left="2070" w:right="284"/>
        <w:rPr>
          <w:rFonts w:ascii="Trebuchet MS" w:hAnsi="Trebuchet MS"/>
          <w:sz w:val="22"/>
          <w:szCs w:val="22"/>
        </w:rPr>
      </w:pPr>
      <w:r>
        <w:rPr>
          <w:rFonts w:ascii="Trebuchet MS" w:hAnsi="Trebuchet MS"/>
          <w:sz w:val="22"/>
          <w:szCs w:val="22"/>
        </w:rPr>
        <w:t>h. Model H Împuternicire</w:t>
      </w:r>
    </w:p>
    <w:p w14:paraId="7DC40488" w14:textId="0063A9BF" w:rsidR="00266A25" w:rsidRDefault="00266A25" w:rsidP="00266A25">
      <w:pPr>
        <w:pStyle w:val="ListParagraph"/>
        <w:tabs>
          <w:tab w:val="left" w:pos="9163"/>
        </w:tabs>
        <w:spacing w:before="120" w:after="120" w:line="276" w:lineRule="auto"/>
        <w:ind w:left="2070" w:right="284"/>
        <w:rPr>
          <w:rFonts w:ascii="Trebuchet MS" w:hAnsi="Trebuchet MS"/>
          <w:sz w:val="22"/>
          <w:szCs w:val="22"/>
        </w:rPr>
      </w:pPr>
      <w:r>
        <w:rPr>
          <w:rFonts w:ascii="Trebuchet MS" w:hAnsi="Trebuchet MS"/>
          <w:sz w:val="22"/>
          <w:szCs w:val="22"/>
        </w:rPr>
        <w:t>i . Model Acord de parteneriat</w:t>
      </w:r>
    </w:p>
    <w:p w14:paraId="35544ABD" w14:textId="77777777" w:rsidR="00266A25" w:rsidRPr="00DC3B06" w:rsidRDefault="00266A25" w:rsidP="00DC3B06">
      <w:pPr>
        <w:pStyle w:val="ListParagraph"/>
        <w:tabs>
          <w:tab w:val="left" w:pos="9163"/>
        </w:tabs>
        <w:spacing w:before="120" w:after="120" w:line="276" w:lineRule="auto"/>
        <w:ind w:left="2070" w:right="284"/>
        <w:rPr>
          <w:rFonts w:ascii="Trebuchet MS" w:hAnsi="Trebuchet MS"/>
          <w:sz w:val="22"/>
          <w:szCs w:val="22"/>
        </w:rPr>
      </w:pPr>
    </w:p>
    <w:p w14:paraId="0C14C00B" w14:textId="1E6AAA34" w:rsidR="000654CE" w:rsidRDefault="00000000">
      <w:pPr>
        <w:tabs>
          <w:tab w:val="left" w:pos="9163"/>
        </w:tabs>
        <w:spacing w:before="120" w:after="120" w:line="276" w:lineRule="auto"/>
        <w:ind w:left="990" w:right="284"/>
        <w:rPr>
          <w:rFonts w:ascii="Trebuchet MS" w:hAnsi="Trebuchet MS"/>
          <w:sz w:val="22"/>
          <w:szCs w:val="22"/>
        </w:rPr>
      </w:pPr>
      <w:r>
        <w:rPr>
          <w:rFonts w:ascii="Trebuchet MS" w:hAnsi="Trebuchet MS"/>
          <w:sz w:val="22"/>
          <w:szCs w:val="22"/>
        </w:rPr>
        <w:t xml:space="preserve">Anexa </w:t>
      </w:r>
      <w:r w:rsidR="006C016D">
        <w:rPr>
          <w:rFonts w:ascii="Trebuchet MS" w:hAnsi="Trebuchet MS"/>
          <w:sz w:val="22"/>
          <w:szCs w:val="22"/>
        </w:rPr>
        <w:t xml:space="preserve">3 </w:t>
      </w:r>
      <w:r>
        <w:rPr>
          <w:rFonts w:ascii="Trebuchet MS" w:hAnsi="Trebuchet MS"/>
          <w:sz w:val="22"/>
          <w:szCs w:val="22"/>
        </w:rPr>
        <w:t xml:space="preserve">– Model contract de finanțare </w:t>
      </w:r>
    </w:p>
    <w:p w14:paraId="7700C0D5" w14:textId="0952531A" w:rsidR="00597E87" w:rsidRDefault="00000000">
      <w:pPr>
        <w:tabs>
          <w:tab w:val="left" w:pos="9163"/>
        </w:tabs>
        <w:spacing w:before="120" w:after="120" w:line="276" w:lineRule="auto"/>
        <w:ind w:left="990" w:right="284"/>
        <w:rPr>
          <w:rFonts w:ascii="Trebuchet MS" w:hAnsi="Trebuchet MS"/>
          <w:sz w:val="22"/>
          <w:szCs w:val="22"/>
        </w:rPr>
      </w:pPr>
      <w:r>
        <w:rPr>
          <w:rFonts w:ascii="Trebuchet MS" w:hAnsi="Trebuchet MS"/>
          <w:sz w:val="22"/>
          <w:szCs w:val="22"/>
        </w:rPr>
        <w:t xml:space="preserve">Anexa </w:t>
      </w:r>
      <w:r w:rsidR="006C016D">
        <w:rPr>
          <w:rFonts w:ascii="Trebuchet MS" w:hAnsi="Trebuchet MS"/>
          <w:sz w:val="22"/>
          <w:szCs w:val="22"/>
        </w:rPr>
        <w:t>4</w:t>
      </w:r>
      <w:r>
        <w:rPr>
          <w:rFonts w:ascii="Trebuchet MS" w:hAnsi="Trebuchet MS"/>
          <w:sz w:val="22"/>
          <w:szCs w:val="22"/>
        </w:rPr>
        <w:t xml:space="preserve"> - </w:t>
      </w:r>
      <w:r w:rsidR="00C22A00" w:rsidRPr="00C22A00">
        <w:rPr>
          <w:rFonts w:ascii="Trebuchet MS" w:hAnsi="Trebuchet MS"/>
          <w:sz w:val="22"/>
          <w:szCs w:val="22"/>
        </w:rPr>
        <w:t>Gril</w:t>
      </w:r>
      <w:r w:rsidR="00C22A00">
        <w:rPr>
          <w:rFonts w:ascii="Trebuchet MS" w:hAnsi="Trebuchet MS"/>
          <w:sz w:val="22"/>
          <w:szCs w:val="22"/>
        </w:rPr>
        <w:t>a</w:t>
      </w:r>
      <w:r w:rsidR="00C22A00" w:rsidRPr="00C22A00">
        <w:rPr>
          <w:rFonts w:ascii="Trebuchet MS" w:hAnsi="Trebuchet MS"/>
          <w:sz w:val="22"/>
          <w:szCs w:val="22"/>
        </w:rPr>
        <w:t xml:space="preserve"> de evaluare CAE</w:t>
      </w:r>
    </w:p>
    <w:p w14:paraId="217EC58B" w14:textId="4585EDD0" w:rsidR="00DD170B" w:rsidRDefault="00DD170B">
      <w:pPr>
        <w:tabs>
          <w:tab w:val="left" w:pos="9163"/>
        </w:tabs>
        <w:spacing w:before="120" w:after="120" w:line="276" w:lineRule="auto"/>
        <w:ind w:left="990" w:right="284"/>
        <w:rPr>
          <w:rFonts w:ascii="Trebuchet MS" w:hAnsi="Trebuchet MS"/>
          <w:sz w:val="22"/>
          <w:szCs w:val="22"/>
        </w:rPr>
      </w:pPr>
      <w:r>
        <w:rPr>
          <w:rFonts w:ascii="Trebuchet MS" w:hAnsi="Trebuchet MS"/>
          <w:sz w:val="22"/>
          <w:szCs w:val="22"/>
        </w:rPr>
        <w:t>Anexa 5 – Model Convenția de avans</w:t>
      </w:r>
    </w:p>
    <w:p w14:paraId="79A4BC03" w14:textId="575EBB94" w:rsidR="00652E85" w:rsidRDefault="00652E85">
      <w:pPr>
        <w:tabs>
          <w:tab w:val="left" w:pos="9163"/>
        </w:tabs>
        <w:spacing w:before="120" w:after="120" w:line="276" w:lineRule="auto"/>
        <w:ind w:left="990" w:right="284"/>
        <w:rPr>
          <w:rFonts w:ascii="Trebuchet MS" w:hAnsi="Trebuchet MS"/>
          <w:sz w:val="22"/>
          <w:szCs w:val="22"/>
        </w:rPr>
      </w:pPr>
      <w:r>
        <w:rPr>
          <w:rFonts w:ascii="Trebuchet MS" w:hAnsi="Trebuchet MS"/>
          <w:sz w:val="22"/>
          <w:szCs w:val="22"/>
        </w:rPr>
        <w:t xml:space="preserve">Anexa </w:t>
      </w:r>
      <w:r w:rsidR="008B0125">
        <w:rPr>
          <w:rFonts w:ascii="Trebuchet MS" w:hAnsi="Trebuchet MS"/>
          <w:sz w:val="22"/>
          <w:szCs w:val="22"/>
        </w:rPr>
        <w:t>6</w:t>
      </w:r>
      <w:r>
        <w:rPr>
          <w:rFonts w:ascii="Trebuchet MS" w:hAnsi="Trebuchet MS"/>
          <w:sz w:val="22"/>
          <w:szCs w:val="22"/>
        </w:rPr>
        <w:t xml:space="preserve"> – Raportare indicatori comuni</w:t>
      </w:r>
    </w:p>
    <w:p w14:paraId="6D2406FB" w14:textId="1EC8D18F" w:rsidR="000654CE" w:rsidRDefault="000654CE">
      <w:pPr>
        <w:tabs>
          <w:tab w:val="left" w:pos="9163"/>
        </w:tabs>
        <w:spacing w:before="120" w:after="120" w:line="276" w:lineRule="auto"/>
        <w:ind w:left="990" w:right="284"/>
        <w:rPr>
          <w:rFonts w:ascii="Trebuchet MS" w:hAnsi="Trebuchet MS"/>
          <w:sz w:val="22"/>
          <w:szCs w:val="22"/>
        </w:rPr>
      </w:pPr>
    </w:p>
    <w:sectPr w:rsidR="000654CE">
      <w:footerReference w:type="default" r:id="rId14"/>
      <w:headerReference w:type="first" r:id="rId15"/>
      <w:footerReference w:type="first" r:id="rId16"/>
      <w:pgSz w:w="11906" w:h="16838"/>
      <w:pgMar w:top="1417" w:right="1010" w:bottom="1170" w:left="360" w:header="561" w:footer="633"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4D1C6" w14:textId="77777777" w:rsidR="003C0D65" w:rsidRDefault="003C0D65">
      <w:r>
        <w:separator/>
      </w:r>
    </w:p>
  </w:endnote>
  <w:endnote w:type="continuationSeparator" w:id="0">
    <w:p w14:paraId="458296B5" w14:textId="77777777" w:rsidR="003C0D65" w:rsidRDefault="003C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545842"/>
      <w:docPartObj>
        <w:docPartGallery w:val="Page Numbers (Bottom of Page)"/>
        <w:docPartUnique/>
      </w:docPartObj>
    </w:sdtPr>
    <w:sdtContent>
      <w:p w14:paraId="5F6C4405" w14:textId="77777777" w:rsidR="000654CE" w:rsidRDefault="00000000">
        <w:pPr>
          <w:pStyle w:val="Footer"/>
          <w:jc w:val="center"/>
        </w:pPr>
        <w:r>
          <w:fldChar w:fldCharType="begin"/>
        </w:r>
        <w:r>
          <w:instrText>PAGE</w:instrText>
        </w:r>
        <w:r>
          <w:fldChar w:fldCharType="separate"/>
        </w:r>
        <w:r>
          <w:t>12</w:t>
        </w:r>
        <w:r>
          <w:fldChar w:fldCharType="end"/>
        </w:r>
      </w:p>
    </w:sdtContent>
  </w:sdt>
  <w:p w14:paraId="577A66E8" w14:textId="77777777" w:rsidR="000654CE" w:rsidRDefault="000654CE">
    <w:pPr>
      <w:pStyle w:val="Footer"/>
      <w:ind w:left="1701"/>
      <w:rPr>
        <w:rFonts w:ascii="Trebuchet MS" w:hAnsi="Trebuchet MS"/>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9F2EF" w14:textId="77777777" w:rsidR="000654CE" w:rsidRDefault="000654CE">
    <w:pPr>
      <w:pStyle w:val="Footer"/>
      <w:tabs>
        <w:tab w:val="clear" w:pos="4536"/>
        <w:tab w:val="clear" w:pos="9072"/>
        <w:tab w:val="left" w:pos="2629"/>
      </w:tabs>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2BAF" w14:textId="77777777" w:rsidR="003C0D65" w:rsidRDefault="003C0D65">
      <w:pPr>
        <w:rPr>
          <w:sz w:val="12"/>
        </w:rPr>
      </w:pPr>
      <w:r>
        <w:separator/>
      </w:r>
    </w:p>
  </w:footnote>
  <w:footnote w:type="continuationSeparator" w:id="0">
    <w:p w14:paraId="075984A2" w14:textId="77777777" w:rsidR="003C0D65" w:rsidRDefault="003C0D65">
      <w:pPr>
        <w:rPr>
          <w:sz w:val="12"/>
        </w:rPr>
      </w:pPr>
      <w:r>
        <w:continuationSeparator/>
      </w:r>
    </w:p>
  </w:footnote>
  <w:footnote w:id="1">
    <w:p w14:paraId="2EC8B495" w14:textId="19DD5800" w:rsidR="000D1C64" w:rsidRDefault="000D1C64" w:rsidP="00025210">
      <w:pPr>
        <w:pStyle w:val="FootnoteText"/>
        <w:tabs>
          <w:tab w:val="left" w:pos="450"/>
        </w:tabs>
        <w:ind w:left="450"/>
      </w:pPr>
      <w:r>
        <w:rPr>
          <w:rStyle w:val="FootnoteReference"/>
        </w:rPr>
        <w:footnoteRef/>
      </w:r>
      <w:r>
        <w:t xml:space="preserve"> Potrivit </w:t>
      </w:r>
      <w:r w:rsidR="00025210">
        <w:t>Manualului Fr</w:t>
      </w:r>
      <w:r w:rsidR="00DA6576">
        <w:t>a</w:t>
      </w:r>
      <w:r w:rsidR="00025210">
        <w:t xml:space="preserve">scati 2015, </w:t>
      </w:r>
      <w:r w:rsidR="00025210" w:rsidRPr="00025210">
        <w:t>Orientări pentru colectarea și raportarea datelor privind cercetarea și dezvoltarea experimentală</w:t>
      </w:r>
    </w:p>
  </w:footnote>
  <w:footnote w:id="2">
    <w:p w14:paraId="2D039472" w14:textId="16437C74" w:rsidR="00346B9D" w:rsidRDefault="00346B9D">
      <w:pPr>
        <w:pStyle w:val="FootnoteText"/>
      </w:pPr>
      <w:r>
        <w:rPr>
          <w:rStyle w:val="FootnoteReference"/>
        </w:rPr>
        <w:footnoteRef/>
      </w:r>
      <w:r>
        <w:t xml:space="preserve"> </w:t>
      </w:r>
      <w:r w:rsidRPr="00346B9D">
        <w:t>Entități autorizate înscrise în ”</w:t>
      </w:r>
      <w:r w:rsidRPr="00346B9D">
        <w:rPr>
          <w:rFonts w:cstheme="minorHAnsi"/>
        </w:rPr>
        <w:t>Registrul societăților de asigurare și al intermediarilor principali</w:t>
      </w:r>
      <w:r w:rsidRPr="00346B9D">
        <w:t xml:space="preserve">”, </w:t>
      </w:r>
      <w:hyperlink r:id="rId1" w:history="1">
        <w:r w:rsidRPr="00346B9D">
          <w:rPr>
            <w:rStyle w:val="Hyperlink"/>
          </w:rPr>
          <w:t>https://www.asfromania.ro/app.php/ro/a/1542/asigur%C4%83tori-%C8%99i-intermediari-principali</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8C84" w14:textId="77777777" w:rsidR="000654CE" w:rsidRDefault="000654CE">
    <w:pPr>
      <w:pStyle w:val="Header"/>
      <w:ind w:left="851"/>
    </w:pPr>
  </w:p>
  <w:p w14:paraId="7E779AC9" w14:textId="77777777" w:rsidR="000654CE" w:rsidRDefault="000654CE">
    <w:pPr>
      <w:pStyle w:val="Header"/>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1BAD"/>
    <w:multiLevelType w:val="hybridMultilevel"/>
    <w:tmpl w:val="FEB86EBE"/>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08554B24"/>
    <w:multiLevelType w:val="multilevel"/>
    <w:tmpl w:val="CC1A7B10"/>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099D073C"/>
    <w:multiLevelType w:val="multilevel"/>
    <w:tmpl w:val="569E6B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75E2B7B"/>
    <w:multiLevelType w:val="multilevel"/>
    <w:tmpl w:val="8EB40F82"/>
    <w:lvl w:ilvl="0">
      <w:start w:val="1"/>
      <w:numFmt w:val="lowerLetter"/>
      <w:lvlText w:val="%1."/>
      <w:lvlJc w:val="left"/>
      <w:pPr>
        <w:tabs>
          <w:tab w:val="num" w:pos="0"/>
        </w:tabs>
        <w:ind w:left="1714" w:hanging="360"/>
      </w:pPr>
    </w:lvl>
    <w:lvl w:ilvl="1">
      <w:start w:val="1"/>
      <w:numFmt w:val="lowerLetter"/>
      <w:lvlText w:val="%2."/>
      <w:lvlJc w:val="left"/>
      <w:pPr>
        <w:tabs>
          <w:tab w:val="num" w:pos="0"/>
        </w:tabs>
        <w:ind w:left="2434" w:hanging="360"/>
      </w:pPr>
    </w:lvl>
    <w:lvl w:ilvl="2">
      <w:start w:val="1"/>
      <w:numFmt w:val="lowerRoman"/>
      <w:lvlText w:val="%3."/>
      <w:lvlJc w:val="right"/>
      <w:pPr>
        <w:tabs>
          <w:tab w:val="num" w:pos="0"/>
        </w:tabs>
        <w:ind w:left="3154" w:hanging="180"/>
      </w:pPr>
    </w:lvl>
    <w:lvl w:ilvl="3">
      <w:start w:val="1"/>
      <w:numFmt w:val="decimal"/>
      <w:lvlText w:val="%4."/>
      <w:lvlJc w:val="left"/>
      <w:pPr>
        <w:tabs>
          <w:tab w:val="num" w:pos="0"/>
        </w:tabs>
        <w:ind w:left="3874" w:hanging="360"/>
      </w:pPr>
    </w:lvl>
    <w:lvl w:ilvl="4">
      <w:start w:val="1"/>
      <w:numFmt w:val="lowerLetter"/>
      <w:lvlText w:val="%5."/>
      <w:lvlJc w:val="left"/>
      <w:pPr>
        <w:tabs>
          <w:tab w:val="num" w:pos="0"/>
        </w:tabs>
        <w:ind w:left="4594" w:hanging="360"/>
      </w:pPr>
    </w:lvl>
    <w:lvl w:ilvl="5">
      <w:start w:val="1"/>
      <w:numFmt w:val="lowerRoman"/>
      <w:lvlText w:val="%6."/>
      <w:lvlJc w:val="right"/>
      <w:pPr>
        <w:tabs>
          <w:tab w:val="num" w:pos="0"/>
        </w:tabs>
        <w:ind w:left="5314" w:hanging="180"/>
      </w:pPr>
    </w:lvl>
    <w:lvl w:ilvl="6">
      <w:start w:val="1"/>
      <w:numFmt w:val="decimal"/>
      <w:lvlText w:val="%7."/>
      <w:lvlJc w:val="left"/>
      <w:pPr>
        <w:tabs>
          <w:tab w:val="num" w:pos="0"/>
        </w:tabs>
        <w:ind w:left="6034" w:hanging="360"/>
      </w:pPr>
    </w:lvl>
    <w:lvl w:ilvl="7">
      <w:start w:val="1"/>
      <w:numFmt w:val="lowerLetter"/>
      <w:lvlText w:val="%8."/>
      <w:lvlJc w:val="left"/>
      <w:pPr>
        <w:tabs>
          <w:tab w:val="num" w:pos="0"/>
        </w:tabs>
        <w:ind w:left="6754" w:hanging="360"/>
      </w:pPr>
    </w:lvl>
    <w:lvl w:ilvl="8">
      <w:start w:val="1"/>
      <w:numFmt w:val="lowerRoman"/>
      <w:lvlText w:val="%9."/>
      <w:lvlJc w:val="right"/>
      <w:pPr>
        <w:tabs>
          <w:tab w:val="num" w:pos="0"/>
        </w:tabs>
        <w:ind w:left="7474" w:hanging="180"/>
      </w:pPr>
    </w:lvl>
  </w:abstractNum>
  <w:abstractNum w:abstractNumId="4" w15:restartNumberingAfterBreak="0">
    <w:nsid w:val="20627ABD"/>
    <w:multiLevelType w:val="hybridMultilevel"/>
    <w:tmpl w:val="BF7EBA0E"/>
    <w:lvl w:ilvl="0" w:tplc="04090017">
      <w:start w:val="1"/>
      <w:numFmt w:val="lowerLetter"/>
      <w:lvlText w:val="%1)"/>
      <w:lvlJc w:val="left"/>
      <w:pPr>
        <w:ind w:left="1710" w:hanging="360"/>
      </w:pPr>
    </w:lvl>
    <w:lvl w:ilvl="1" w:tplc="4B3CAFEA">
      <w:numFmt w:val="bullet"/>
      <w:lvlText w:val="-"/>
      <w:lvlJc w:val="left"/>
      <w:pPr>
        <w:ind w:left="2430" w:hanging="360"/>
      </w:pPr>
      <w:rPr>
        <w:rFonts w:ascii="Trebuchet MS" w:eastAsiaTheme="minorHAnsi" w:hAnsi="Trebuchet MS" w:cstheme="minorBidi" w:hint="default"/>
      </w:r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 w15:restartNumberingAfterBreak="0">
    <w:nsid w:val="231766B1"/>
    <w:multiLevelType w:val="multilevel"/>
    <w:tmpl w:val="D1703646"/>
    <w:lvl w:ilvl="0">
      <w:start w:val="1"/>
      <w:numFmt w:val="lowerLetter"/>
      <w:lvlText w:val="%1)"/>
      <w:lvlJc w:val="left"/>
      <w:pPr>
        <w:tabs>
          <w:tab w:val="num" w:pos="0"/>
        </w:tabs>
        <w:ind w:left="2070" w:hanging="360"/>
      </w:pPr>
    </w:lvl>
    <w:lvl w:ilvl="1">
      <w:start w:val="1"/>
      <w:numFmt w:val="bullet"/>
      <w:lvlText w:val="o"/>
      <w:lvlJc w:val="left"/>
      <w:pPr>
        <w:tabs>
          <w:tab w:val="num" w:pos="0"/>
        </w:tabs>
        <w:ind w:left="2790" w:hanging="360"/>
      </w:pPr>
      <w:rPr>
        <w:rFonts w:ascii="Courier New" w:hAnsi="Courier New" w:cs="Courier New" w:hint="default"/>
      </w:rPr>
    </w:lvl>
    <w:lvl w:ilvl="2">
      <w:start w:val="1"/>
      <w:numFmt w:val="bullet"/>
      <w:lvlText w:val=""/>
      <w:lvlJc w:val="left"/>
      <w:pPr>
        <w:tabs>
          <w:tab w:val="num" w:pos="0"/>
        </w:tabs>
        <w:ind w:left="3510" w:hanging="360"/>
      </w:pPr>
      <w:rPr>
        <w:rFonts w:ascii="Wingdings" w:hAnsi="Wingdings" w:cs="Wingdings" w:hint="default"/>
      </w:rPr>
    </w:lvl>
    <w:lvl w:ilvl="3">
      <w:start w:val="1"/>
      <w:numFmt w:val="bullet"/>
      <w:lvlText w:val=""/>
      <w:lvlJc w:val="left"/>
      <w:pPr>
        <w:tabs>
          <w:tab w:val="num" w:pos="0"/>
        </w:tabs>
        <w:ind w:left="4230" w:hanging="360"/>
      </w:pPr>
      <w:rPr>
        <w:rFonts w:ascii="Symbol" w:hAnsi="Symbol" w:cs="Symbol" w:hint="default"/>
      </w:rPr>
    </w:lvl>
    <w:lvl w:ilvl="4">
      <w:start w:val="1"/>
      <w:numFmt w:val="bullet"/>
      <w:lvlText w:val="o"/>
      <w:lvlJc w:val="left"/>
      <w:pPr>
        <w:tabs>
          <w:tab w:val="num" w:pos="0"/>
        </w:tabs>
        <w:ind w:left="4950" w:hanging="360"/>
      </w:pPr>
      <w:rPr>
        <w:rFonts w:ascii="Courier New" w:hAnsi="Courier New" w:cs="Courier New" w:hint="default"/>
      </w:rPr>
    </w:lvl>
    <w:lvl w:ilvl="5">
      <w:start w:val="1"/>
      <w:numFmt w:val="bullet"/>
      <w:lvlText w:val=""/>
      <w:lvlJc w:val="left"/>
      <w:pPr>
        <w:tabs>
          <w:tab w:val="num" w:pos="0"/>
        </w:tabs>
        <w:ind w:left="5670" w:hanging="360"/>
      </w:pPr>
      <w:rPr>
        <w:rFonts w:ascii="Wingdings" w:hAnsi="Wingdings" w:cs="Wingdings" w:hint="default"/>
      </w:rPr>
    </w:lvl>
    <w:lvl w:ilvl="6">
      <w:start w:val="1"/>
      <w:numFmt w:val="bullet"/>
      <w:lvlText w:val=""/>
      <w:lvlJc w:val="left"/>
      <w:pPr>
        <w:tabs>
          <w:tab w:val="num" w:pos="0"/>
        </w:tabs>
        <w:ind w:left="6390" w:hanging="360"/>
      </w:pPr>
      <w:rPr>
        <w:rFonts w:ascii="Symbol" w:hAnsi="Symbol" w:cs="Symbol" w:hint="default"/>
      </w:rPr>
    </w:lvl>
    <w:lvl w:ilvl="7">
      <w:start w:val="1"/>
      <w:numFmt w:val="bullet"/>
      <w:lvlText w:val="o"/>
      <w:lvlJc w:val="left"/>
      <w:pPr>
        <w:tabs>
          <w:tab w:val="num" w:pos="0"/>
        </w:tabs>
        <w:ind w:left="7110" w:hanging="360"/>
      </w:pPr>
      <w:rPr>
        <w:rFonts w:ascii="Courier New" w:hAnsi="Courier New" w:cs="Courier New" w:hint="default"/>
      </w:rPr>
    </w:lvl>
    <w:lvl w:ilvl="8">
      <w:start w:val="1"/>
      <w:numFmt w:val="bullet"/>
      <w:lvlText w:val=""/>
      <w:lvlJc w:val="left"/>
      <w:pPr>
        <w:tabs>
          <w:tab w:val="num" w:pos="0"/>
        </w:tabs>
        <w:ind w:left="7830" w:hanging="360"/>
      </w:pPr>
      <w:rPr>
        <w:rFonts w:ascii="Wingdings" w:hAnsi="Wingdings" w:cs="Wingdings" w:hint="default"/>
      </w:rPr>
    </w:lvl>
  </w:abstractNum>
  <w:abstractNum w:abstractNumId="6" w15:restartNumberingAfterBreak="0">
    <w:nsid w:val="2A7517C6"/>
    <w:multiLevelType w:val="multilevel"/>
    <w:tmpl w:val="6F1031D8"/>
    <w:lvl w:ilvl="0">
      <w:start w:val="1"/>
      <w:numFmt w:val="lowerLetter"/>
      <w:lvlText w:val="%1."/>
      <w:lvlJc w:val="left"/>
      <w:pPr>
        <w:tabs>
          <w:tab w:val="num" w:pos="0"/>
        </w:tabs>
        <w:ind w:left="1710" w:hanging="360"/>
      </w:pPr>
    </w:lvl>
    <w:lvl w:ilvl="1">
      <w:start w:val="1"/>
      <w:numFmt w:val="lowerLetter"/>
      <w:lvlText w:val="%2."/>
      <w:lvlJc w:val="left"/>
      <w:pPr>
        <w:tabs>
          <w:tab w:val="num" w:pos="0"/>
        </w:tabs>
        <w:ind w:left="2430" w:hanging="360"/>
      </w:pPr>
    </w:lvl>
    <w:lvl w:ilvl="2">
      <w:start w:val="1"/>
      <w:numFmt w:val="lowerRoman"/>
      <w:lvlText w:val="%3."/>
      <w:lvlJc w:val="right"/>
      <w:pPr>
        <w:tabs>
          <w:tab w:val="num" w:pos="0"/>
        </w:tabs>
        <w:ind w:left="3150" w:hanging="180"/>
      </w:pPr>
    </w:lvl>
    <w:lvl w:ilvl="3">
      <w:start w:val="1"/>
      <w:numFmt w:val="decimal"/>
      <w:lvlText w:val="%4."/>
      <w:lvlJc w:val="left"/>
      <w:pPr>
        <w:tabs>
          <w:tab w:val="num" w:pos="0"/>
        </w:tabs>
        <w:ind w:left="3870" w:hanging="360"/>
      </w:pPr>
    </w:lvl>
    <w:lvl w:ilvl="4">
      <w:start w:val="1"/>
      <w:numFmt w:val="lowerLetter"/>
      <w:lvlText w:val="%5."/>
      <w:lvlJc w:val="left"/>
      <w:pPr>
        <w:tabs>
          <w:tab w:val="num" w:pos="0"/>
        </w:tabs>
        <w:ind w:left="4590" w:hanging="360"/>
      </w:pPr>
    </w:lvl>
    <w:lvl w:ilvl="5">
      <w:start w:val="1"/>
      <w:numFmt w:val="lowerRoman"/>
      <w:lvlText w:val="%6."/>
      <w:lvlJc w:val="right"/>
      <w:pPr>
        <w:tabs>
          <w:tab w:val="num" w:pos="0"/>
        </w:tabs>
        <w:ind w:left="5310" w:hanging="180"/>
      </w:pPr>
    </w:lvl>
    <w:lvl w:ilvl="6">
      <w:start w:val="1"/>
      <w:numFmt w:val="decimal"/>
      <w:lvlText w:val="%7."/>
      <w:lvlJc w:val="left"/>
      <w:pPr>
        <w:tabs>
          <w:tab w:val="num" w:pos="0"/>
        </w:tabs>
        <w:ind w:left="6030" w:hanging="360"/>
      </w:pPr>
    </w:lvl>
    <w:lvl w:ilvl="7">
      <w:start w:val="1"/>
      <w:numFmt w:val="lowerLetter"/>
      <w:lvlText w:val="%8."/>
      <w:lvlJc w:val="left"/>
      <w:pPr>
        <w:tabs>
          <w:tab w:val="num" w:pos="0"/>
        </w:tabs>
        <w:ind w:left="6750" w:hanging="360"/>
      </w:pPr>
    </w:lvl>
    <w:lvl w:ilvl="8">
      <w:start w:val="1"/>
      <w:numFmt w:val="lowerRoman"/>
      <w:lvlText w:val="%9."/>
      <w:lvlJc w:val="right"/>
      <w:pPr>
        <w:tabs>
          <w:tab w:val="num" w:pos="0"/>
        </w:tabs>
        <w:ind w:left="7470" w:hanging="180"/>
      </w:pPr>
    </w:lvl>
  </w:abstractNum>
  <w:abstractNum w:abstractNumId="7" w15:restartNumberingAfterBreak="0">
    <w:nsid w:val="2E9A7EAD"/>
    <w:multiLevelType w:val="multilevel"/>
    <w:tmpl w:val="32E26628"/>
    <w:lvl w:ilvl="0">
      <w:start w:val="1"/>
      <w:numFmt w:val="bullet"/>
      <w:lvlText w:val="-"/>
      <w:lvlJc w:val="left"/>
      <w:pPr>
        <w:tabs>
          <w:tab w:val="num" w:pos="0"/>
        </w:tabs>
        <w:ind w:left="1710" w:hanging="360"/>
      </w:pPr>
      <w:rPr>
        <w:rFonts w:ascii="Calibri" w:hAnsi="Calibri" w:cs="Calibri" w:hint="default"/>
      </w:rPr>
    </w:lvl>
    <w:lvl w:ilvl="1">
      <w:start w:val="1"/>
      <w:numFmt w:val="bullet"/>
      <w:lvlText w:val="o"/>
      <w:lvlJc w:val="left"/>
      <w:pPr>
        <w:tabs>
          <w:tab w:val="num" w:pos="0"/>
        </w:tabs>
        <w:ind w:left="2430" w:hanging="360"/>
      </w:pPr>
      <w:rPr>
        <w:rFonts w:ascii="Courier New" w:hAnsi="Courier New" w:cs="Courier New" w:hint="default"/>
      </w:rPr>
    </w:lvl>
    <w:lvl w:ilvl="2">
      <w:start w:val="1"/>
      <w:numFmt w:val="bullet"/>
      <w:lvlText w:val=""/>
      <w:lvlJc w:val="left"/>
      <w:pPr>
        <w:tabs>
          <w:tab w:val="num" w:pos="0"/>
        </w:tabs>
        <w:ind w:left="3150" w:hanging="360"/>
      </w:pPr>
      <w:rPr>
        <w:rFonts w:ascii="Wingdings" w:hAnsi="Wingdings" w:cs="Wingdings" w:hint="default"/>
      </w:rPr>
    </w:lvl>
    <w:lvl w:ilvl="3">
      <w:start w:val="1"/>
      <w:numFmt w:val="bullet"/>
      <w:lvlText w:val=""/>
      <w:lvlJc w:val="left"/>
      <w:pPr>
        <w:tabs>
          <w:tab w:val="num" w:pos="0"/>
        </w:tabs>
        <w:ind w:left="3870" w:hanging="360"/>
      </w:pPr>
      <w:rPr>
        <w:rFonts w:ascii="Symbol" w:hAnsi="Symbol" w:cs="Symbol" w:hint="default"/>
      </w:rPr>
    </w:lvl>
    <w:lvl w:ilvl="4">
      <w:start w:val="1"/>
      <w:numFmt w:val="bullet"/>
      <w:lvlText w:val="o"/>
      <w:lvlJc w:val="left"/>
      <w:pPr>
        <w:tabs>
          <w:tab w:val="num" w:pos="0"/>
        </w:tabs>
        <w:ind w:left="4590" w:hanging="360"/>
      </w:pPr>
      <w:rPr>
        <w:rFonts w:ascii="Courier New" w:hAnsi="Courier New" w:cs="Courier New" w:hint="default"/>
      </w:rPr>
    </w:lvl>
    <w:lvl w:ilvl="5">
      <w:start w:val="1"/>
      <w:numFmt w:val="bullet"/>
      <w:lvlText w:val=""/>
      <w:lvlJc w:val="left"/>
      <w:pPr>
        <w:tabs>
          <w:tab w:val="num" w:pos="0"/>
        </w:tabs>
        <w:ind w:left="5310" w:hanging="360"/>
      </w:pPr>
      <w:rPr>
        <w:rFonts w:ascii="Wingdings" w:hAnsi="Wingdings" w:cs="Wingdings" w:hint="default"/>
      </w:rPr>
    </w:lvl>
    <w:lvl w:ilvl="6">
      <w:start w:val="1"/>
      <w:numFmt w:val="bullet"/>
      <w:lvlText w:val=""/>
      <w:lvlJc w:val="left"/>
      <w:pPr>
        <w:tabs>
          <w:tab w:val="num" w:pos="0"/>
        </w:tabs>
        <w:ind w:left="6030" w:hanging="360"/>
      </w:pPr>
      <w:rPr>
        <w:rFonts w:ascii="Symbol" w:hAnsi="Symbol" w:cs="Symbol" w:hint="default"/>
      </w:rPr>
    </w:lvl>
    <w:lvl w:ilvl="7">
      <w:start w:val="1"/>
      <w:numFmt w:val="bullet"/>
      <w:lvlText w:val="o"/>
      <w:lvlJc w:val="left"/>
      <w:pPr>
        <w:tabs>
          <w:tab w:val="num" w:pos="0"/>
        </w:tabs>
        <w:ind w:left="6750" w:hanging="360"/>
      </w:pPr>
      <w:rPr>
        <w:rFonts w:ascii="Courier New" w:hAnsi="Courier New" w:cs="Courier New" w:hint="default"/>
      </w:rPr>
    </w:lvl>
    <w:lvl w:ilvl="8">
      <w:start w:val="1"/>
      <w:numFmt w:val="bullet"/>
      <w:lvlText w:val=""/>
      <w:lvlJc w:val="left"/>
      <w:pPr>
        <w:tabs>
          <w:tab w:val="num" w:pos="0"/>
        </w:tabs>
        <w:ind w:left="7470" w:hanging="360"/>
      </w:pPr>
      <w:rPr>
        <w:rFonts w:ascii="Wingdings" w:hAnsi="Wingdings" w:cs="Wingdings" w:hint="default"/>
      </w:rPr>
    </w:lvl>
  </w:abstractNum>
  <w:abstractNum w:abstractNumId="8" w15:restartNumberingAfterBreak="0">
    <w:nsid w:val="3DE23E5E"/>
    <w:multiLevelType w:val="multilevel"/>
    <w:tmpl w:val="D2F6A924"/>
    <w:lvl w:ilvl="0">
      <w:start w:val="1"/>
      <w:numFmt w:val="decimal"/>
      <w:lvlText w:val="%1."/>
      <w:lvlJc w:val="left"/>
      <w:pPr>
        <w:tabs>
          <w:tab w:val="num" w:pos="0"/>
        </w:tabs>
        <w:ind w:left="1710" w:hanging="360"/>
      </w:pPr>
      <w:rPr>
        <w:b/>
      </w:rPr>
    </w:lvl>
    <w:lvl w:ilvl="1">
      <w:start w:val="1"/>
      <w:numFmt w:val="decimal"/>
      <w:lvlText w:val="%1.%2"/>
      <w:lvlJc w:val="left"/>
      <w:pPr>
        <w:tabs>
          <w:tab w:val="num" w:pos="0"/>
        </w:tabs>
        <w:ind w:left="1740" w:hanging="390"/>
      </w:pPr>
      <w:rPr>
        <w:b/>
      </w:rPr>
    </w:lvl>
    <w:lvl w:ilvl="2">
      <w:start w:val="1"/>
      <w:numFmt w:val="decimal"/>
      <w:lvlText w:val="%1.%2.%3"/>
      <w:lvlJc w:val="left"/>
      <w:pPr>
        <w:tabs>
          <w:tab w:val="num" w:pos="0"/>
        </w:tabs>
        <w:ind w:left="2070" w:hanging="720"/>
      </w:pPr>
      <w:rPr>
        <w:b/>
        <w:bCs/>
        <w:color w:val="auto"/>
      </w:rPr>
    </w:lvl>
    <w:lvl w:ilvl="3">
      <w:start w:val="1"/>
      <w:numFmt w:val="decimal"/>
      <w:lvlText w:val="%1.%2.%3.%4"/>
      <w:lvlJc w:val="left"/>
      <w:pPr>
        <w:tabs>
          <w:tab w:val="num" w:pos="0"/>
        </w:tabs>
        <w:ind w:left="2070" w:hanging="720"/>
      </w:pPr>
    </w:lvl>
    <w:lvl w:ilvl="4">
      <w:start w:val="1"/>
      <w:numFmt w:val="decimal"/>
      <w:lvlText w:val="%1.%2.%3.%4.%5"/>
      <w:lvlJc w:val="left"/>
      <w:pPr>
        <w:tabs>
          <w:tab w:val="num" w:pos="0"/>
        </w:tabs>
        <w:ind w:left="2430" w:hanging="1080"/>
      </w:pPr>
    </w:lvl>
    <w:lvl w:ilvl="5">
      <w:start w:val="1"/>
      <w:numFmt w:val="decimal"/>
      <w:lvlText w:val="%1.%2.%3.%4.%5.%6"/>
      <w:lvlJc w:val="left"/>
      <w:pPr>
        <w:tabs>
          <w:tab w:val="num" w:pos="0"/>
        </w:tabs>
        <w:ind w:left="2790" w:hanging="1440"/>
      </w:pPr>
    </w:lvl>
    <w:lvl w:ilvl="6">
      <w:start w:val="1"/>
      <w:numFmt w:val="decimal"/>
      <w:lvlText w:val="%1.%2.%3.%4.%5.%6.%7"/>
      <w:lvlJc w:val="left"/>
      <w:pPr>
        <w:tabs>
          <w:tab w:val="num" w:pos="0"/>
        </w:tabs>
        <w:ind w:left="2790" w:hanging="1440"/>
      </w:pPr>
    </w:lvl>
    <w:lvl w:ilvl="7">
      <w:start w:val="1"/>
      <w:numFmt w:val="decimal"/>
      <w:lvlText w:val="%1.%2.%3.%4.%5.%6.%7.%8"/>
      <w:lvlJc w:val="left"/>
      <w:pPr>
        <w:tabs>
          <w:tab w:val="num" w:pos="0"/>
        </w:tabs>
        <w:ind w:left="3150" w:hanging="1800"/>
      </w:pPr>
    </w:lvl>
    <w:lvl w:ilvl="8">
      <w:start w:val="1"/>
      <w:numFmt w:val="decimal"/>
      <w:lvlText w:val="%1.%2.%3.%4.%5.%6.%7.%8.%9"/>
      <w:lvlJc w:val="left"/>
      <w:pPr>
        <w:tabs>
          <w:tab w:val="num" w:pos="0"/>
        </w:tabs>
        <w:ind w:left="3150" w:hanging="1800"/>
      </w:pPr>
    </w:lvl>
  </w:abstractNum>
  <w:abstractNum w:abstractNumId="9" w15:restartNumberingAfterBreak="0">
    <w:nsid w:val="51224BF9"/>
    <w:multiLevelType w:val="multilevel"/>
    <w:tmpl w:val="89C4BDFC"/>
    <w:lvl w:ilvl="0">
      <w:start w:val="1"/>
      <w:numFmt w:val="decimal"/>
      <w:lvlText w:val="%1."/>
      <w:lvlJc w:val="left"/>
      <w:pPr>
        <w:tabs>
          <w:tab w:val="num" w:pos="0"/>
        </w:tabs>
        <w:ind w:left="1710" w:hanging="360"/>
      </w:pPr>
    </w:lvl>
    <w:lvl w:ilvl="1">
      <w:start w:val="1"/>
      <w:numFmt w:val="lowerLetter"/>
      <w:lvlText w:val="%2."/>
      <w:lvlJc w:val="left"/>
      <w:pPr>
        <w:tabs>
          <w:tab w:val="num" w:pos="0"/>
        </w:tabs>
        <w:ind w:left="2430" w:hanging="360"/>
      </w:pPr>
    </w:lvl>
    <w:lvl w:ilvl="2">
      <w:start w:val="1"/>
      <w:numFmt w:val="lowerRoman"/>
      <w:lvlText w:val="%3."/>
      <w:lvlJc w:val="right"/>
      <w:pPr>
        <w:tabs>
          <w:tab w:val="num" w:pos="0"/>
        </w:tabs>
        <w:ind w:left="3150" w:hanging="180"/>
      </w:pPr>
    </w:lvl>
    <w:lvl w:ilvl="3">
      <w:start w:val="1"/>
      <w:numFmt w:val="decimal"/>
      <w:lvlText w:val="%4."/>
      <w:lvlJc w:val="left"/>
      <w:pPr>
        <w:tabs>
          <w:tab w:val="num" w:pos="0"/>
        </w:tabs>
        <w:ind w:left="3870" w:hanging="360"/>
      </w:pPr>
    </w:lvl>
    <w:lvl w:ilvl="4">
      <w:start w:val="1"/>
      <w:numFmt w:val="lowerLetter"/>
      <w:lvlText w:val="%5."/>
      <w:lvlJc w:val="left"/>
      <w:pPr>
        <w:tabs>
          <w:tab w:val="num" w:pos="0"/>
        </w:tabs>
        <w:ind w:left="4590" w:hanging="360"/>
      </w:pPr>
    </w:lvl>
    <w:lvl w:ilvl="5">
      <w:start w:val="1"/>
      <w:numFmt w:val="lowerRoman"/>
      <w:lvlText w:val="%6."/>
      <w:lvlJc w:val="right"/>
      <w:pPr>
        <w:tabs>
          <w:tab w:val="num" w:pos="0"/>
        </w:tabs>
        <w:ind w:left="5310" w:hanging="180"/>
      </w:pPr>
    </w:lvl>
    <w:lvl w:ilvl="6">
      <w:start w:val="1"/>
      <w:numFmt w:val="decimal"/>
      <w:lvlText w:val="%7."/>
      <w:lvlJc w:val="left"/>
      <w:pPr>
        <w:tabs>
          <w:tab w:val="num" w:pos="0"/>
        </w:tabs>
        <w:ind w:left="6030" w:hanging="360"/>
      </w:pPr>
    </w:lvl>
    <w:lvl w:ilvl="7">
      <w:start w:val="1"/>
      <w:numFmt w:val="lowerLetter"/>
      <w:lvlText w:val="%8."/>
      <w:lvlJc w:val="left"/>
      <w:pPr>
        <w:tabs>
          <w:tab w:val="num" w:pos="0"/>
        </w:tabs>
        <w:ind w:left="6750" w:hanging="360"/>
      </w:pPr>
    </w:lvl>
    <w:lvl w:ilvl="8">
      <w:start w:val="1"/>
      <w:numFmt w:val="lowerRoman"/>
      <w:lvlText w:val="%9."/>
      <w:lvlJc w:val="right"/>
      <w:pPr>
        <w:tabs>
          <w:tab w:val="num" w:pos="0"/>
        </w:tabs>
        <w:ind w:left="7470" w:hanging="180"/>
      </w:pPr>
    </w:lvl>
  </w:abstractNum>
  <w:abstractNum w:abstractNumId="10" w15:restartNumberingAfterBreak="0">
    <w:nsid w:val="52CB018E"/>
    <w:multiLevelType w:val="multilevel"/>
    <w:tmpl w:val="81E6BED6"/>
    <w:lvl w:ilvl="0">
      <w:start w:val="1"/>
      <w:numFmt w:val="bullet"/>
      <w:lvlText w:val="-"/>
      <w:lvlJc w:val="left"/>
      <w:pPr>
        <w:tabs>
          <w:tab w:val="num" w:pos="0"/>
        </w:tabs>
        <w:ind w:left="1710" w:hanging="360"/>
      </w:pPr>
      <w:rPr>
        <w:rFonts w:ascii="Trebuchet MS" w:hAnsi="Trebuchet MS" w:cs="Trebuchet MS" w:hint="default"/>
      </w:rPr>
    </w:lvl>
    <w:lvl w:ilvl="1">
      <w:start w:val="1"/>
      <w:numFmt w:val="bullet"/>
      <w:lvlText w:val="o"/>
      <w:lvlJc w:val="left"/>
      <w:pPr>
        <w:tabs>
          <w:tab w:val="num" w:pos="0"/>
        </w:tabs>
        <w:ind w:left="2430" w:hanging="360"/>
      </w:pPr>
      <w:rPr>
        <w:rFonts w:ascii="Courier New" w:hAnsi="Courier New" w:cs="Courier New" w:hint="default"/>
      </w:rPr>
    </w:lvl>
    <w:lvl w:ilvl="2">
      <w:start w:val="1"/>
      <w:numFmt w:val="bullet"/>
      <w:lvlText w:val=""/>
      <w:lvlJc w:val="left"/>
      <w:pPr>
        <w:tabs>
          <w:tab w:val="num" w:pos="0"/>
        </w:tabs>
        <w:ind w:left="3150" w:hanging="360"/>
      </w:pPr>
      <w:rPr>
        <w:rFonts w:ascii="Wingdings" w:hAnsi="Wingdings" w:cs="Wingdings" w:hint="default"/>
      </w:rPr>
    </w:lvl>
    <w:lvl w:ilvl="3">
      <w:start w:val="1"/>
      <w:numFmt w:val="bullet"/>
      <w:lvlText w:val=""/>
      <w:lvlJc w:val="left"/>
      <w:pPr>
        <w:tabs>
          <w:tab w:val="num" w:pos="0"/>
        </w:tabs>
        <w:ind w:left="3870" w:hanging="360"/>
      </w:pPr>
      <w:rPr>
        <w:rFonts w:ascii="Symbol" w:hAnsi="Symbol" w:cs="Symbol" w:hint="default"/>
      </w:rPr>
    </w:lvl>
    <w:lvl w:ilvl="4">
      <w:start w:val="1"/>
      <w:numFmt w:val="bullet"/>
      <w:lvlText w:val="o"/>
      <w:lvlJc w:val="left"/>
      <w:pPr>
        <w:tabs>
          <w:tab w:val="num" w:pos="0"/>
        </w:tabs>
        <w:ind w:left="4590" w:hanging="360"/>
      </w:pPr>
      <w:rPr>
        <w:rFonts w:ascii="Courier New" w:hAnsi="Courier New" w:cs="Courier New" w:hint="default"/>
      </w:rPr>
    </w:lvl>
    <w:lvl w:ilvl="5">
      <w:start w:val="1"/>
      <w:numFmt w:val="bullet"/>
      <w:lvlText w:val=""/>
      <w:lvlJc w:val="left"/>
      <w:pPr>
        <w:tabs>
          <w:tab w:val="num" w:pos="0"/>
        </w:tabs>
        <w:ind w:left="5310" w:hanging="360"/>
      </w:pPr>
      <w:rPr>
        <w:rFonts w:ascii="Wingdings" w:hAnsi="Wingdings" w:cs="Wingdings" w:hint="default"/>
      </w:rPr>
    </w:lvl>
    <w:lvl w:ilvl="6">
      <w:start w:val="1"/>
      <w:numFmt w:val="bullet"/>
      <w:lvlText w:val=""/>
      <w:lvlJc w:val="left"/>
      <w:pPr>
        <w:tabs>
          <w:tab w:val="num" w:pos="0"/>
        </w:tabs>
        <w:ind w:left="6030" w:hanging="360"/>
      </w:pPr>
      <w:rPr>
        <w:rFonts w:ascii="Symbol" w:hAnsi="Symbol" w:cs="Symbol" w:hint="default"/>
      </w:rPr>
    </w:lvl>
    <w:lvl w:ilvl="7">
      <w:start w:val="1"/>
      <w:numFmt w:val="bullet"/>
      <w:lvlText w:val="o"/>
      <w:lvlJc w:val="left"/>
      <w:pPr>
        <w:tabs>
          <w:tab w:val="num" w:pos="0"/>
        </w:tabs>
        <w:ind w:left="6750" w:hanging="360"/>
      </w:pPr>
      <w:rPr>
        <w:rFonts w:ascii="Courier New" w:hAnsi="Courier New" w:cs="Courier New" w:hint="default"/>
      </w:rPr>
    </w:lvl>
    <w:lvl w:ilvl="8">
      <w:start w:val="1"/>
      <w:numFmt w:val="bullet"/>
      <w:lvlText w:val=""/>
      <w:lvlJc w:val="left"/>
      <w:pPr>
        <w:tabs>
          <w:tab w:val="num" w:pos="0"/>
        </w:tabs>
        <w:ind w:left="7470" w:hanging="360"/>
      </w:pPr>
      <w:rPr>
        <w:rFonts w:ascii="Wingdings" w:hAnsi="Wingdings" w:cs="Wingdings" w:hint="default"/>
      </w:rPr>
    </w:lvl>
  </w:abstractNum>
  <w:abstractNum w:abstractNumId="11" w15:restartNumberingAfterBreak="0">
    <w:nsid w:val="5D746C18"/>
    <w:multiLevelType w:val="multilevel"/>
    <w:tmpl w:val="6A8E2832"/>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2" w15:restartNumberingAfterBreak="0">
    <w:nsid w:val="5DCC2ABD"/>
    <w:multiLevelType w:val="multilevel"/>
    <w:tmpl w:val="938E5B10"/>
    <w:lvl w:ilvl="0">
      <w:start w:val="1"/>
      <w:numFmt w:val="decimal"/>
      <w:lvlText w:val="%1."/>
      <w:lvlJc w:val="left"/>
      <w:pPr>
        <w:tabs>
          <w:tab w:val="num" w:pos="-630"/>
        </w:tabs>
        <w:ind w:left="1800" w:hanging="360"/>
      </w:pPr>
    </w:lvl>
    <w:lvl w:ilvl="1">
      <w:start w:val="1"/>
      <w:numFmt w:val="lowerLetter"/>
      <w:lvlText w:val="%2."/>
      <w:lvlJc w:val="left"/>
      <w:pPr>
        <w:tabs>
          <w:tab w:val="num" w:pos="-630"/>
        </w:tabs>
        <w:ind w:left="2520" w:hanging="360"/>
      </w:pPr>
    </w:lvl>
    <w:lvl w:ilvl="2">
      <w:start w:val="1"/>
      <w:numFmt w:val="lowerRoman"/>
      <w:lvlText w:val="%3."/>
      <w:lvlJc w:val="right"/>
      <w:pPr>
        <w:tabs>
          <w:tab w:val="num" w:pos="-630"/>
        </w:tabs>
        <w:ind w:left="3240" w:hanging="180"/>
      </w:pPr>
    </w:lvl>
    <w:lvl w:ilvl="3">
      <w:start w:val="1"/>
      <w:numFmt w:val="decimal"/>
      <w:lvlText w:val="%4."/>
      <w:lvlJc w:val="left"/>
      <w:pPr>
        <w:tabs>
          <w:tab w:val="num" w:pos="-630"/>
        </w:tabs>
        <w:ind w:left="3960" w:hanging="360"/>
      </w:pPr>
    </w:lvl>
    <w:lvl w:ilvl="4">
      <w:start w:val="1"/>
      <w:numFmt w:val="lowerLetter"/>
      <w:lvlText w:val="%5."/>
      <w:lvlJc w:val="left"/>
      <w:pPr>
        <w:tabs>
          <w:tab w:val="num" w:pos="-630"/>
        </w:tabs>
        <w:ind w:left="4680" w:hanging="360"/>
      </w:pPr>
    </w:lvl>
    <w:lvl w:ilvl="5">
      <w:start w:val="1"/>
      <w:numFmt w:val="lowerRoman"/>
      <w:lvlText w:val="%6."/>
      <w:lvlJc w:val="right"/>
      <w:pPr>
        <w:tabs>
          <w:tab w:val="num" w:pos="-630"/>
        </w:tabs>
        <w:ind w:left="5400" w:hanging="180"/>
      </w:pPr>
    </w:lvl>
    <w:lvl w:ilvl="6">
      <w:start w:val="1"/>
      <w:numFmt w:val="decimal"/>
      <w:lvlText w:val="%7."/>
      <w:lvlJc w:val="left"/>
      <w:pPr>
        <w:tabs>
          <w:tab w:val="num" w:pos="-630"/>
        </w:tabs>
        <w:ind w:left="6120" w:hanging="360"/>
      </w:pPr>
    </w:lvl>
    <w:lvl w:ilvl="7">
      <w:start w:val="1"/>
      <w:numFmt w:val="lowerLetter"/>
      <w:lvlText w:val="%8."/>
      <w:lvlJc w:val="left"/>
      <w:pPr>
        <w:tabs>
          <w:tab w:val="num" w:pos="-630"/>
        </w:tabs>
        <w:ind w:left="6840" w:hanging="360"/>
      </w:pPr>
    </w:lvl>
    <w:lvl w:ilvl="8">
      <w:start w:val="1"/>
      <w:numFmt w:val="lowerRoman"/>
      <w:lvlText w:val="%9."/>
      <w:lvlJc w:val="right"/>
      <w:pPr>
        <w:tabs>
          <w:tab w:val="num" w:pos="-630"/>
        </w:tabs>
        <w:ind w:left="7560" w:hanging="180"/>
      </w:pPr>
    </w:lvl>
  </w:abstractNum>
  <w:abstractNum w:abstractNumId="13" w15:restartNumberingAfterBreak="0">
    <w:nsid w:val="60073CCB"/>
    <w:multiLevelType w:val="multilevel"/>
    <w:tmpl w:val="F688527A"/>
    <w:lvl w:ilvl="0">
      <w:start w:val="1"/>
      <w:numFmt w:val="lowerLetter"/>
      <w:lvlText w:val="%1)"/>
      <w:lvlJc w:val="left"/>
      <w:pPr>
        <w:tabs>
          <w:tab w:val="num" w:pos="0"/>
        </w:tabs>
        <w:ind w:left="2070" w:hanging="360"/>
      </w:pPr>
    </w:lvl>
    <w:lvl w:ilvl="1">
      <w:start w:val="1"/>
      <w:numFmt w:val="bullet"/>
      <w:lvlText w:val="o"/>
      <w:lvlJc w:val="left"/>
      <w:pPr>
        <w:tabs>
          <w:tab w:val="num" w:pos="0"/>
        </w:tabs>
        <w:ind w:left="2790" w:hanging="360"/>
      </w:pPr>
      <w:rPr>
        <w:rFonts w:ascii="Courier New" w:hAnsi="Courier New" w:cs="Courier New" w:hint="default"/>
      </w:rPr>
    </w:lvl>
    <w:lvl w:ilvl="2">
      <w:start w:val="1"/>
      <w:numFmt w:val="bullet"/>
      <w:lvlText w:val=""/>
      <w:lvlJc w:val="left"/>
      <w:pPr>
        <w:tabs>
          <w:tab w:val="num" w:pos="0"/>
        </w:tabs>
        <w:ind w:left="3510" w:hanging="360"/>
      </w:pPr>
      <w:rPr>
        <w:rFonts w:ascii="Wingdings" w:hAnsi="Wingdings" w:cs="Wingdings" w:hint="default"/>
      </w:rPr>
    </w:lvl>
    <w:lvl w:ilvl="3">
      <w:start w:val="1"/>
      <w:numFmt w:val="bullet"/>
      <w:lvlText w:val=""/>
      <w:lvlJc w:val="left"/>
      <w:pPr>
        <w:tabs>
          <w:tab w:val="num" w:pos="0"/>
        </w:tabs>
        <w:ind w:left="4230" w:hanging="360"/>
      </w:pPr>
      <w:rPr>
        <w:rFonts w:ascii="Symbol" w:hAnsi="Symbol" w:cs="Symbol" w:hint="default"/>
      </w:rPr>
    </w:lvl>
    <w:lvl w:ilvl="4">
      <w:start w:val="1"/>
      <w:numFmt w:val="bullet"/>
      <w:lvlText w:val="o"/>
      <w:lvlJc w:val="left"/>
      <w:pPr>
        <w:tabs>
          <w:tab w:val="num" w:pos="0"/>
        </w:tabs>
        <w:ind w:left="4950" w:hanging="360"/>
      </w:pPr>
      <w:rPr>
        <w:rFonts w:ascii="Courier New" w:hAnsi="Courier New" w:cs="Courier New" w:hint="default"/>
      </w:rPr>
    </w:lvl>
    <w:lvl w:ilvl="5">
      <w:start w:val="1"/>
      <w:numFmt w:val="bullet"/>
      <w:lvlText w:val=""/>
      <w:lvlJc w:val="left"/>
      <w:pPr>
        <w:tabs>
          <w:tab w:val="num" w:pos="0"/>
        </w:tabs>
        <w:ind w:left="5670" w:hanging="360"/>
      </w:pPr>
      <w:rPr>
        <w:rFonts w:ascii="Wingdings" w:hAnsi="Wingdings" w:cs="Wingdings" w:hint="default"/>
      </w:rPr>
    </w:lvl>
    <w:lvl w:ilvl="6">
      <w:start w:val="1"/>
      <w:numFmt w:val="bullet"/>
      <w:lvlText w:val=""/>
      <w:lvlJc w:val="left"/>
      <w:pPr>
        <w:tabs>
          <w:tab w:val="num" w:pos="0"/>
        </w:tabs>
        <w:ind w:left="6390" w:hanging="360"/>
      </w:pPr>
      <w:rPr>
        <w:rFonts w:ascii="Symbol" w:hAnsi="Symbol" w:cs="Symbol" w:hint="default"/>
      </w:rPr>
    </w:lvl>
    <w:lvl w:ilvl="7">
      <w:start w:val="1"/>
      <w:numFmt w:val="bullet"/>
      <w:lvlText w:val="o"/>
      <w:lvlJc w:val="left"/>
      <w:pPr>
        <w:tabs>
          <w:tab w:val="num" w:pos="0"/>
        </w:tabs>
        <w:ind w:left="7110" w:hanging="360"/>
      </w:pPr>
      <w:rPr>
        <w:rFonts w:ascii="Courier New" w:hAnsi="Courier New" w:cs="Courier New" w:hint="default"/>
      </w:rPr>
    </w:lvl>
    <w:lvl w:ilvl="8">
      <w:start w:val="1"/>
      <w:numFmt w:val="bullet"/>
      <w:lvlText w:val=""/>
      <w:lvlJc w:val="left"/>
      <w:pPr>
        <w:tabs>
          <w:tab w:val="num" w:pos="0"/>
        </w:tabs>
        <w:ind w:left="7830" w:hanging="360"/>
      </w:pPr>
      <w:rPr>
        <w:rFonts w:ascii="Wingdings" w:hAnsi="Wingdings" w:cs="Wingdings" w:hint="default"/>
      </w:rPr>
    </w:lvl>
  </w:abstractNum>
  <w:abstractNum w:abstractNumId="14" w15:restartNumberingAfterBreak="0">
    <w:nsid w:val="672551CA"/>
    <w:multiLevelType w:val="multilevel"/>
    <w:tmpl w:val="0D0281D0"/>
    <w:lvl w:ilvl="0">
      <w:start w:val="1"/>
      <w:numFmt w:val="bullet"/>
      <w:lvlText w:val=""/>
      <w:lvlJc w:val="left"/>
      <w:pPr>
        <w:tabs>
          <w:tab w:val="num" w:pos="0"/>
        </w:tabs>
        <w:ind w:left="1350" w:hanging="360"/>
      </w:pPr>
      <w:rPr>
        <w:rFonts w:ascii="Wingdings" w:hAnsi="Wingdings" w:cs="Wingdings" w:hint="default"/>
      </w:rPr>
    </w:lvl>
    <w:lvl w:ilvl="1">
      <w:start w:val="1"/>
      <w:numFmt w:val="bullet"/>
      <w:lvlText w:val="o"/>
      <w:lvlJc w:val="left"/>
      <w:pPr>
        <w:tabs>
          <w:tab w:val="num" w:pos="0"/>
        </w:tabs>
        <w:ind w:left="2853" w:hanging="360"/>
      </w:pPr>
      <w:rPr>
        <w:rFonts w:ascii="Courier New" w:hAnsi="Courier New" w:cs="Courier New" w:hint="default"/>
      </w:rPr>
    </w:lvl>
    <w:lvl w:ilvl="2">
      <w:start w:val="1"/>
      <w:numFmt w:val="bullet"/>
      <w:lvlText w:val=""/>
      <w:lvlJc w:val="left"/>
      <w:pPr>
        <w:tabs>
          <w:tab w:val="num" w:pos="0"/>
        </w:tabs>
        <w:ind w:left="3573" w:hanging="360"/>
      </w:pPr>
      <w:rPr>
        <w:rFonts w:ascii="Wingdings" w:hAnsi="Wingdings" w:cs="Wingdings" w:hint="default"/>
      </w:rPr>
    </w:lvl>
    <w:lvl w:ilvl="3">
      <w:start w:val="1"/>
      <w:numFmt w:val="bullet"/>
      <w:lvlText w:val=""/>
      <w:lvlJc w:val="left"/>
      <w:pPr>
        <w:tabs>
          <w:tab w:val="num" w:pos="0"/>
        </w:tabs>
        <w:ind w:left="4293" w:hanging="360"/>
      </w:pPr>
      <w:rPr>
        <w:rFonts w:ascii="Symbol" w:hAnsi="Symbol" w:cs="Symbol" w:hint="default"/>
      </w:rPr>
    </w:lvl>
    <w:lvl w:ilvl="4">
      <w:start w:val="1"/>
      <w:numFmt w:val="bullet"/>
      <w:lvlText w:val="o"/>
      <w:lvlJc w:val="left"/>
      <w:pPr>
        <w:tabs>
          <w:tab w:val="num" w:pos="0"/>
        </w:tabs>
        <w:ind w:left="5013" w:hanging="360"/>
      </w:pPr>
      <w:rPr>
        <w:rFonts w:ascii="Courier New" w:hAnsi="Courier New" w:cs="Courier New" w:hint="default"/>
      </w:rPr>
    </w:lvl>
    <w:lvl w:ilvl="5">
      <w:start w:val="1"/>
      <w:numFmt w:val="bullet"/>
      <w:lvlText w:val=""/>
      <w:lvlJc w:val="left"/>
      <w:pPr>
        <w:tabs>
          <w:tab w:val="num" w:pos="0"/>
        </w:tabs>
        <w:ind w:left="5733" w:hanging="360"/>
      </w:pPr>
      <w:rPr>
        <w:rFonts w:ascii="Wingdings" w:hAnsi="Wingdings" w:cs="Wingdings" w:hint="default"/>
      </w:rPr>
    </w:lvl>
    <w:lvl w:ilvl="6">
      <w:start w:val="1"/>
      <w:numFmt w:val="bullet"/>
      <w:lvlText w:val=""/>
      <w:lvlJc w:val="left"/>
      <w:pPr>
        <w:tabs>
          <w:tab w:val="num" w:pos="0"/>
        </w:tabs>
        <w:ind w:left="6453" w:hanging="360"/>
      </w:pPr>
      <w:rPr>
        <w:rFonts w:ascii="Symbol" w:hAnsi="Symbol" w:cs="Symbol" w:hint="default"/>
      </w:rPr>
    </w:lvl>
    <w:lvl w:ilvl="7">
      <w:start w:val="1"/>
      <w:numFmt w:val="bullet"/>
      <w:lvlText w:val="o"/>
      <w:lvlJc w:val="left"/>
      <w:pPr>
        <w:tabs>
          <w:tab w:val="num" w:pos="0"/>
        </w:tabs>
        <w:ind w:left="7173" w:hanging="360"/>
      </w:pPr>
      <w:rPr>
        <w:rFonts w:ascii="Courier New" w:hAnsi="Courier New" w:cs="Courier New" w:hint="default"/>
      </w:rPr>
    </w:lvl>
    <w:lvl w:ilvl="8">
      <w:start w:val="1"/>
      <w:numFmt w:val="bullet"/>
      <w:lvlText w:val=""/>
      <w:lvlJc w:val="left"/>
      <w:pPr>
        <w:tabs>
          <w:tab w:val="num" w:pos="0"/>
        </w:tabs>
        <w:ind w:left="7893" w:hanging="360"/>
      </w:pPr>
      <w:rPr>
        <w:rFonts w:ascii="Wingdings" w:hAnsi="Wingdings" w:cs="Wingdings" w:hint="default"/>
      </w:rPr>
    </w:lvl>
  </w:abstractNum>
  <w:abstractNum w:abstractNumId="15" w15:restartNumberingAfterBreak="0">
    <w:nsid w:val="68A55C89"/>
    <w:multiLevelType w:val="multilevel"/>
    <w:tmpl w:val="9AA644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8AC4D50"/>
    <w:multiLevelType w:val="multilevel"/>
    <w:tmpl w:val="84A084BE"/>
    <w:lvl w:ilvl="0">
      <w:start w:val="1"/>
      <w:numFmt w:val="bullet"/>
      <w:lvlText w:val="-"/>
      <w:lvlJc w:val="left"/>
      <w:pPr>
        <w:tabs>
          <w:tab w:val="num" w:pos="0"/>
        </w:tabs>
        <w:ind w:left="1710" w:hanging="360"/>
      </w:pPr>
      <w:rPr>
        <w:rFonts w:ascii="Times New Roman" w:hAnsi="Times New Roman" w:cs="Times New Roman" w:hint="default"/>
      </w:rPr>
    </w:lvl>
    <w:lvl w:ilvl="1">
      <w:start w:val="1"/>
      <w:numFmt w:val="bullet"/>
      <w:lvlText w:val="o"/>
      <w:lvlJc w:val="left"/>
      <w:pPr>
        <w:tabs>
          <w:tab w:val="num" w:pos="0"/>
        </w:tabs>
        <w:ind w:left="2430" w:hanging="360"/>
      </w:pPr>
      <w:rPr>
        <w:rFonts w:ascii="Courier New" w:hAnsi="Courier New" w:cs="Courier New" w:hint="default"/>
      </w:rPr>
    </w:lvl>
    <w:lvl w:ilvl="2">
      <w:start w:val="1"/>
      <w:numFmt w:val="bullet"/>
      <w:lvlText w:val=""/>
      <w:lvlJc w:val="left"/>
      <w:pPr>
        <w:tabs>
          <w:tab w:val="num" w:pos="0"/>
        </w:tabs>
        <w:ind w:left="3150" w:hanging="360"/>
      </w:pPr>
      <w:rPr>
        <w:rFonts w:ascii="Wingdings" w:hAnsi="Wingdings" w:cs="Wingdings" w:hint="default"/>
      </w:rPr>
    </w:lvl>
    <w:lvl w:ilvl="3">
      <w:start w:val="1"/>
      <w:numFmt w:val="bullet"/>
      <w:lvlText w:val=""/>
      <w:lvlJc w:val="left"/>
      <w:pPr>
        <w:tabs>
          <w:tab w:val="num" w:pos="0"/>
        </w:tabs>
        <w:ind w:left="3870" w:hanging="360"/>
      </w:pPr>
      <w:rPr>
        <w:rFonts w:ascii="Symbol" w:hAnsi="Symbol" w:cs="Symbol" w:hint="default"/>
      </w:rPr>
    </w:lvl>
    <w:lvl w:ilvl="4">
      <w:start w:val="1"/>
      <w:numFmt w:val="bullet"/>
      <w:lvlText w:val="o"/>
      <w:lvlJc w:val="left"/>
      <w:pPr>
        <w:tabs>
          <w:tab w:val="num" w:pos="0"/>
        </w:tabs>
        <w:ind w:left="4590" w:hanging="360"/>
      </w:pPr>
      <w:rPr>
        <w:rFonts w:ascii="Courier New" w:hAnsi="Courier New" w:cs="Courier New" w:hint="default"/>
      </w:rPr>
    </w:lvl>
    <w:lvl w:ilvl="5">
      <w:start w:val="1"/>
      <w:numFmt w:val="bullet"/>
      <w:lvlText w:val=""/>
      <w:lvlJc w:val="left"/>
      <w:pPr>
        <w:tabs>
          <w:tab w:val="num" w:pos="0"/>
        </w:tabs>
        <w:ind w:left="5310" w:hanging="360"/>
      </w:pPr>
      <w:rPr>
        <w:rFonts w:ascii="Wingdings" w:hAnsi="Wingdings" w:cs="Wingdings" w:hint="default"/>
      </w:rPr>
    </w:lvl>
    <w:lvl w:ilvl="6">
      <w:start w:val="1"/>
      <w:numFmt w:val="bullet"/>
      <w:lvlText w:val=""/>
      <w:lvlJc w:val="left"/>
      <w:pPr>
        <w:tabs>
          <w:tab w:val="num" w:pos="0"/>
        </w:tabs>
        <w:ind w:left="6030" w:hanging="360"/>
      </w:pPr>
      <w:rPr>
        <w:rFonts w:ascii="Symbol" w:hAnsi="Symbol" w:cs="Symbol" w:hint="default"/>
      </w:rPr>
    </w:lvl>
    <w:lvl w:ilvl="7">
      <w:start w:val="1"/>
      <w:numFmt w:val="bullet"/>
      <w:lvlText w:val="o"/>
      <w:lvlJc w:val="left"/>
      <w:pPr>
        <w:tabs>
          <w:tab w:val="num" w:pos="0"/>
        </w:tabs>
        <w:ind w:left="6750" w:hanging="360"/>
      </w:pPr>
      <w:rPr>
        <w:rFonts w:ascii="Courier New" w:hAnsi="Courier New" w:cs="Courier New" w:hint="default"/>
      </w:rPr>
    </w:lvl>
    <w:lvl w:ilvl="8">
      <w:start w:val="1"/>
      <w:numFmt w:val="bullet"/>
      <w:lvlText w:val=""/>
      <w:lvlJc w:val="left"/>
      <w:pPr>
        <w:tabs>
          <w:tab w:val="num" w:pos="0"/>
        </w:tabs>
        <w:ind w:left="7470" w:hanging="360"/>
      </w:pPr>
      <w:rPr>
        <w:rFonts w:ascii="Wingdings" w:hAnsi="Wingdings" w:cs="Wingdings" w:hint="default"/>
      </w:rPr>
    </w:lvl>
  </w:abstractNum>
  <w:abstractNum w:abstractNumId="17" w15:restartNumberingAfterBreak="0">
    <w:nsid w:val="69454308"/>
    <w:multiLevelType w:val="multilevel"/>
    <w:tmpl w:val="972CEB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5731496"/>
    <w:multiLevelType w:val="hybridMultilevel"/>
    <w:tmpl w:val="019C2A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336180"/>
    <w:multiLevelType w:val="multilevel"/>
    <w:tmpl w:val="7ECE4CC6"/>
    <w:lvl w:ilvl="0">
      <w:start w:val="100"/>
      <w:numFmt w:val="bullet"/>
      <w:lvlText w:val="-"/>
      <w:lvlJc w:val="left"/>
      <w:pPr>
        <w:tabs>
          <w:tab w:val="num" w:pos="0"/>
        </w:tabs>
        <w:ind w:left="1710" w:hanging="360"/>
      </w:pPr>
      <w:rPr>
        <w:rFonts w:ascii="Calibri" w:eastAsiaTheme="minorHAnsi" w:hAnsi="Calibri" w:cs="Calibri" w:hint="default"/>
        <w:color w:val="006100"/>
        <w:sz w:val="16"/>
      </w:rPr>
    </w:lvl>
    <w:lvl w:ilvl="1">
      <w:start w:val="1"/>
      <w:numFmt w:val="bullet"/>
      <w:lvlText w:val="o"/>
      <w:lvlJc w:val="left"/>
      <w:pPr>
        <w:tabs>
          <w:tab w:val="num" w:pos="360"/>
        </w:tabs>
        <w:ind w:left="3213" w:hanging="360"/>
      </w:pPr>
      <w:rPr>
        <w:rFonts w:ascii="Courier New" w:hAnsi="Courier New" w:cs="Courier New" w:hint="default"/>
      </w:rPr>
    </w:lvl>
    <w:lvl w:ilvl="2">
      <w:start w:val="1"/>
      <w:numFmt w:val="bullet"/>
      <w:lvlText w:val=""/>
      <w:lvlJc w:val="left"/>
      <w:pPr>
        <w:tabs>
          <w:tab w:val="num" w:pos="360"/>
        </w:tabs>
        <w:ind w:left="3933" w:hanging="360"/>
      </w:pPr>
      <w:rPr>
        <w:rFonts w:ascii="Wingdings" w:hAnsi="Wingdings" w:cs="Wingdings" w:hint="default"/>
      </w:rPr>
    </w:lvl>
    <w:lvl w:ilvl="3">
      <w:start w:val="1"/>
      <w:numFmt w:val="bullet"/>
      <w:lvlText w:val=""/>
      <w:lvlJc w:val="left"/>
      <w:pPr>
        <w:tabs>
          <w:tab w:val="num" w:pos="360"/>
        </w:tabs>
        <w:ind w:left="4653" w:hanging="360"/>
      </w:pPr>
      <w:rPr>
        <w:rFonts w:ascii="Symbol" w:hAnsi="Symbol" w:cs="Symbol" w:hint="default"/>
      </w:rPr>
    </w:lvl>
    <w:lvl w:ilvl="4">
      <w:start w:val="1"/>
      <w:numFmt w:val="bullet"/>
      <w:lvlText w:val="o"/>
      <w:lvlJc w:val="left"/>
      <w:pPr>
        <w:tabs>
          <w:tab w:val="num" w:pos="360"/>
        </w:tabs>
        <w:ind w:left="5373" w:hanging="360"/>
      </w:pPr>
      <w:rPr>
        <w:rFonts w:ascii="Courier New" w:hAnsi="Courier New" w:cs="Courier New" w:hint="default"/>
      </w:rPr>
    </w:lvl>
    <w:lvl w:ilvl="5">
      <w:start w:val="1"/>
      <w:numFmt w:val="bullet"/>
      <w:lvlText w:val=""/>
      <w:lvlJc w:val="left"/>
      <w:pPr>
        <w:tabs>
          <w:tab w:val="num" w:pos="360"/>
        </w:tabs>
        <w:ind w:left="6093" w:hanging="360"/>
      </w:pPr>
      <w:rPr>
        <w:rFonts w:ascii="Wingdings" w:hAnsi="Wingdings" w:cs="Wingdings" w:hint="default"/>
      </w:rPr>
    </w:lvl>
    <w:lvl w:ilvl="6">
      <w:start w:val="1"/>
      <w:numFmt w:val="bullet"/>
      <w:lvlText w:val=""/>
      <w:lvlJc w:val="left"/>
      <w:pPr>
        <w:tabs>
          <w:tab w:val="num" w:pos="360"/>
        </w:tabs>
        <w:ind w:left="6813" w:hanging="360"/>
      </w:pPr>
      <w:rPr>
        <w:rFonts w:ascii="Symbol" w:hAnsi="Symbol" w:cs="Symbol" w:hint="default"/>
      </w:rPr>
    </w:lvl>
    <w:lvl w:ilvl="7">
      <w:start w:val="1"/>
      <w:numFmt w:val="bullet"/>
      <w:lvlText w:val="o"/>
      <w:lvlJc w:val="left"/>
      <w:pPr>
        <w:tabs>
          <w:tab w:val="num" w:pos="360"/>
        </w:tabs>
        <w:ind w:left="7533" w:hanging="360"/>
      </w:pPr>
      <w:rPr>
        <w:rFonts w:ascii="Courier New" w:hAnsi="Courier New" w:cs="Courier New" w:hint="default"/>
      </w:rPr>
    </w:lvl>
    <w:lvl w:ilvl="8">
      <w:start w:val="1"/>
      <w:numFmt w:val="bullet"/>
      <w:lvlText w:val=""/>
      <w:lvlJc w:val="left"/>
      <w:pPr>
        <w:tabs>
          <w:tab w:val="num" w:pos="360"/>
        </w:tabs>
        <w:ind w:left="8253" w:hanging="360"/>
      </w:pPr>
      <w:rPr>
        <w:rFonts w:ascii="Wingdings" w:hAnsi="Wingdings" w:cs="Wingdings" w:hint="default"/>
      </w:rPr>
    </w:lvl>
  </w:abstractNum>
  <w:abstractNum w:abstractNumId="20" w15:restartNumberingAfterBreak="0">
    <w:nsid w:val="7A345D33"/>
    <w:multiLevelType w:val="multilevel"/>
    <w:tmpl w:val="7B283E90"/>
    <w:lvl w:ilvl="0">
      <w:start w:val="1"/>
      <w:numFmt w:val="bullet"/>
      <w:lvlText w:val="-"/>
      <w:lvlJc w:val="left"/>
      <w:pPr>
        <w:tabs>
          <w:tab w:val="num" w:pos="0"/>
        </w:tabs>
        <w:ind w:left="1710" w:hanging="360"/>
      </w:pPr>
      <w:rPr>
        <w:rFonts w:ascii="Trebuchet MS" w:hAnsi="Trebuchet MS" w:cs="Trebuchet MS" w:hint="default"/>
      </w:rPr>
    </w:lvl>
    <w:lvl w:ilvl="1">
      <w:start w:val="1"/>
      <w:numFmt w:val="bullet"/>
      <w:lvlText w:val="o"/>
      <w:lvlJc w:val="left"/>
      <w:pPr>
        <w:tabs>
          <w:tab w:val="num" w:pos="0"/>
        </w:tabs>
        <w:ind w:left="2430" w:hanging="360"/>
      </w:pPr>
      <w:rPr>
        <w:rFonts w:ascii="Courier New" w:hAnsi="Courier New" w:cs="Courier New" w:hint="default"/>
      </w:rPr>
    </w:lvl>
    <w:lvl w:ilvl="2">
      <w:start w:val="1"/>
      <w:numFmt w:val="bullet"/>
      <w:lvlText w:val=""/>
      <w:lvlJc w:val="left"/>
      <w:pPr>
        <w:tabs>
          <w:tab w:val="num" w:pos="0"/>
        </w:tabs>
        <w:ind w:left="3150" w:hanging="360"/>
      </w:pPr>
      <w:rPr>
        <w:rFonts w:ascii="Wingdings" w:hAnsi="Wingdings" w:cs="Wingdings" w:hint="default"/>
      </w:rPr>
    </w:lvl>
    <w:lvl w:ilvl="3">
      <w:start w:val="1"/>
      <w:numFmt w:val="bullet"/>
      <w:lvlText w:val=""/>
      <w:lvlJc w:val="left"/>
      <w:pPr>
        <w:tabs>
          <w:tab w:val="num" w:pos="0"/>
        </w:tabs>
        <w:ind w:left="3870" w:hanging="360"/>
      </w:pPr>
      <w:rPr>
        <w:rFonts w:ascii="Symbol" w:hAnsi="Symbol" w:cs="Symbol" w:hint="default"/>
      </w:rPr>
    </w:lvl>
    <w:lvl w:ilvl="4">
      <w:start w:val="1"/>
      <w:numFmt w:val="bullet"/>
      <w:lvlText w:val="o"/>
      <w:lvlJc w:val="left"/>
      <w:pPr>
        <w:tabs>
          <w:tab w:val="num" w:pos="0"/>
        </w:tabs>
        <w:ind w:left="4590" w:hanging="360"/>
      </w:pPr>
      <w:rPr>
        <w:rFonts w:ascii="Courier New" w:hAnsi="Courier New" w:cs="Courier New" w:hint="default"/>
      </w:rPr>
    </w:lvl>
    <w:lvl w:ilvl="5">
      <w:start w:val="1"/>
      <w:numFmt w:val="bullet"/>
      <w:lvlText w:val=""/>
      <w:lvlJc w:val="left"/>
      <w:pPr>
        <w:tabs>
          <w:tab w:val="num" w:pos="0"/>
        </w:tabs>
        <w:ind w:left="5310" w:hanging="360"/>
      </w:pPr>
      <w:rPr>
        <w:rFonts w:ascii="Wingdings" w:hAnsi="Wingdings" w:cs="Wingdings" w:hint="default"/>
      </w:rPr>
    </w:lvl>
    <w:lvl w:ilvl="6">
      <w:start w:val="1"/>
      <w:numFmt w:val="bullet"/>
      <w:lvlText w:val=""/>
      <w:lvlJc w:val="left"/>
      <w:pPr>
        <w:tabs>
          <w:tab w:val="num" w:pos="0"/>
        </w:tabs>
        <w:ind w:left="6030" w:hanging="360"/>
      </w:pPr>
      <w:rPr>
        <w:rFonts w:ascii="Symbol" w:hAnsi="Symbol" w:cs="Symbol" w:hint="default"/>
      </w:rPr>
    </w:lvl>
    <w:lvl w:ilvl="7">
      <w:start w:val="1"/>
      <w:numFmt w:val="bullet"/>
      <w:lvlText w:val="o"/>
      <w:lvlJc w:val="left"/>
      <w:pPr>
        <w:tabs>
          <w:tab w:val="num" w:pos="0"/>
        </w:tabs>
        <w:ind w:left="6750" w:hanging="360"/>
      </w:pPr>
      <w:rPr>
        <w:rFonts w:ascii="Courier New" w:hAnsi="Courier New" w:cs="Courier New" w:hint="default"/>
      </w:rPr>
    </w:lvl>
    <w:lvl w:ilvl="8">
      <w:start w:val="1"/>
      <w:numFmt w:val="bullet"/>
      <w:lvlText w:val=""/>
      <w:lvlJc w:val="left"/>
      <w:pPr>
        <w:tabs>
          <w:tab w:val="num" w:pos="0"/>
        </w:tabs>
        <w:ind w:left="7470" w:hanging="360"/>
      </w:pPr>
      <w:rPr>
        <w:rFonts w:ascii="Wingdings" w:hAnsi="Wingdings" w:cs="Wingdings" w:hint="default"/>
      </w:rPr>
    </w:lvl>
  </w:abstractNum>
  <w:abstractNum w:abstractNumId="21" w15:restartNumberingAfterBreak="0">
    <w:nsid w:val="7E7B0F77"/>
    <w:multiLevelType w:val="multilevel"/>
    <w:tmpl w:val="085CFC30"/>
    <w:lvl w:ilvl="0">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2" w15:restartNumberingAfterBreak="0">
    <w:nsid w:val="7ED516BA"/>
    <w:multiLevelType w:val="hybridMultilevel"/>
    <w:tmpl w:val="174E64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6065797">
    <w:abstractNumId w:val="8"/>
  </w:num>
  <w:num w:numId="2" w16cid:durableId="1468284313">
    <w:abstractNumId w:val="14"/>
  </w:num>
  <w:num w:numId="3" w16cid:durableId="1751999712">
    <w:abstractNumId w:val="5"/>
  </w:num>
  <w:num w:numId="4" w16cid:durableId="317079473">
    <w:abstractNumId w:val="16"/>
  </w:num>
  <w:num w:numId="5" w16cid:durableId="1544901335">
    <w:abstractNumId w:val="3"/>
  </w:num>
  <w:num w:numId="6" w16cid:durableId="1128551312">
    <w:abstractNumId w:val="15"/>
  </w:num>
  <w:num w:numId="7" w16cid:durableId="1735664647">
    <w:abstractNumId w:val="11"/>
  </w:num>
  <w:num w:numId="8" w16cid:durableId="1319770825">
    <w:abstractNumId w:val="20"/>
  </w:num>
  <w:num w:numId="9" w16cid:durableId="1989822551">
    <w:abstractNumId w:val="10"/>
  </w:num>
  <w:num w:numId="10" w16cid:durableId="2004358023">
    <w:abstractNumId w:val="9"/>
  </w:num>
  <w:num w:numId="11" w16cid:durableId="56898560">
    <w:abstractNumId w:val="6"/>
  </w:num>
  <w:num w:numId="12" w16cid:durableId="1821993270">
    <w:abstractNumId w:val="13"/>
  </w:num>
  <w:num w:numId="13" w16cid:durableId="980353144">
    <w:abstractNumId w:val="19"/>
  </w:num>
  <w:num w:numId="14" w16cid:durableId="1759447438">
    <w:abstractNumId w:val="2"/>
  </w:num>
  <w:num w:numId="15" w16cid:durableId="591940439">
    <w:abstractNumId w:val="1"/>
  </w:num>
  <w:num w:numId="16" w16cid:durableId="208224039">
    <w:abstractNumId w:val="21"/>
  </w:num>
  <w:num w:numId="17" w16cid:durableId="260839611">
    <w:abstractNumId w:val="7"/>
  </w:num>
  <w:num w:numId="18" w16cid:durableId="1968772728">
    <w:abstractNumId w:val="12"/>
  </w:num>
  <w:num w:numId="19" w16cid:durableId="522480198">
    <w:abstractNumId w:val="17"/>
  </w:num>
  <w:num w:numId="20" w16cid:durableId="2012563280">
    <w:abstractNumId w:val="0"/>
  </w:num>
  <w:num w:numId="21" w16cid:durableId="13923116">
    <w:abstractNumId w:val="4"/>
  </w:num>
  <w:num w:numId="22" w16cid:durableId="1309481631">
    <w:abstractNumId w:val="22"/>
  </w:num>
  <w:num w:numId="23" w16cid:durableId="3885774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4CE"/>
    <w:rsid w:val="00012D1B"/>
    <w:rsid w:val="00016AA5"/>
    <w:rsid w:val="00017362"/>
    <w:rsid w:val="00025210"/>
    <w:rsid w:val="00044675"/>
    <w:rsid w:val="00046CA5"/>
    <w:rsid w:val="000475F7"/>
    <w:rsid w:val="000654CE"/>
    <w:rsid w:val="0007071F"/>
    <w:rsid w:val="000912C9"/>
    <w:rsid w:val="000A7836"/>
    <w:rsid w:val="000B2B05"/>
    <w:rsid w:val="000B2BCD"/>
    <w:rsid w:val="000D1C64"/>
    <w:rsid w:val="000D4D0C"/>
    <w:rsid w:val="000F69D2"/>
    <w:rsid w:val="001138D6"/>
    <w:rsid w:val="00133582"/>
    <w:rsid w:val="00142D88"/>
    <w:rsid w:val="00167B5F"/>
    <w:rsid w:val="0018278B"/>
    <w:rsid w:val="001870BF"/>
    <w:rsid w:val="00190ACE"/>
    <w:rsid w:val="0019298F"/>
    <w:rsid w:val="001E1C3A"/>
    <w:rsid w:val="00206DA9"/>
    <w:rsid w:val="00214E44"/>
    <w:rsid w:val="0022034A"/>
    <w:rsid w:val="00224A53"/>
    <w:rsid w:val="00235CE6"/>
    <w:rsid w:val="002472C9"/>
    <w:rsid w:val="00266A25"/>
    <w:rsid w:val="0027019B"/>
    <w:rsid w:val="00274BA7"/>
    <w:rsid w:val="002B27FB"/>
    <w:rsid w:val="002B2B0C"/>
    <w:rsid w:val="002C0B44"/>
    <w:rsid w:val="002C75FD"/>
    <w:rsid w:val="00303ABD"/>
    <w:rsid w:val="00306790"/>
    <w:rsid w:val="003144EF"/>
    <w:rsid w:val="003314BB"/>
    <w:rsid w:val="003364E1"/>
    <w:rsid w:val="00346B9D"/>
    <w:rsid w:val="00357226"/>
    <w:rsid w:val="00361564"/>
    <w:rsid w:val="0037251F"/>
    <w:rsid w:val="00386F5F"/>
    <w:rsid w:val="003A225E"/>
    <w:rsid w:val="003A4777"/>
    <w:rsid w:val="003B352C"/>
    <w:rsid w:val="003C0D65"/>
    <w:rsid w:val="003C17A1"/>
    <w:rsid w:val="003F22FA"/>
    <w:rsid w:val="00412868"/>
    <w:rsid w:val="00415C95"/>
    <w:rsid w:val="00432238"/>
    <w:rsid w:val="00455330"/>
    <w:rsid w:val="0046027D"/>
    <w:rsid w:val="0047102B"/>
    <w:rsid w:val="0048108F"/>
    <w:rsid w:val="00494EAE"/>
    <w:rsid w:val="004C0EC8"/>
    <w:rsid w:val="004C68CF"/>
    <w:rsid w:val="0050241C"/>
    <w:rsid w:val="00532536"/>
    <w:rsid w:val="00532B62"/>
    <w:rsid w:val="00535506"/>
    <w:rsid w:val="005448CE"/>
    <w:rsid w:val="005541FD"/>
    <w:rsid w:val="00562160"/>
    <w:rsid w:val="00576CAD"/>
    <w:rsid w:val="005967F6"/>
    <w:rsid w:val="00597E87"/>
    <w:rsid w:val="005A075F"/>
    <w:rsid w:val="005C6EAC"/>
    <w:rsid w:val="005D4E65"/>
    <w:rsid w:val="00615EBD"/>
    <w:rsid w:val="00637589"/>
    <w:rsid w:val="00652E85"/>
    <w:rsid w:val="00663567"/>
    <w:rsid w:val="00665F38"/>
    <w:rsid w:val="0066640C"/>
    <w:rsid w:val="00674490"/>
    <w:rsid w:val="006747FD"/>
    <w:rsid w:val="006C016D"/>
    <w:rsid w:val="006E1C49"/>
    <w:rsid w:val="006E521F"/>
    <w:rsid w:val="006F075D"/>
    <w:rsid w:val="006F4B55"/>
    <w:rsid w:val="00723BEA"/>
    <w:rsid w:val="00733880"/>
    <w:rsid w:val="00735362"/>
    <w:rsid w:val="0078723E"/>
    <w:rsid w:val="00792687"/>
    <w:rsid w:val="007D5EF1"/>
    <w:rsid w:val="007F2554"/>
    <w:rsid w:val="007F3F22"/>
    <w:rsid w:val="00803BCB"/>
    <w:rsid w:val="0082658D"/>
    <w:rsid w:val="008345B1"/>
    <w:rsid w:val="008449EB"/>
    <w:rsid w:val="00875B01"/>
    <w:rsid w:val="008914A8"/>
    <w:rsid w:val="008B0125"/>
    <w:rsid w:val="008D6ACD"/>
    <w:rsid w:val="0090595E"/>
    <w:rsid w:val="0090751C"/>
    <w:rsid w:val="00926FC3"/>
    <w:rsid w:val="00934998"/>
    <w:rsid w:val="009929B5"/>
    <w:rsid w:val="009A02FC"/>
    <w:rsid w:val="009C067F"/>
    <w:rsid w:val="009C629E"/>
    <w:rsid w:val="009E206A"/>
    <w:rsid w:val="009E25F9"/>
    <w:rsid w:val="00A04971"/>
    <w:rsid w:val="00A33C42"/>
    <w:rsid w:val="00A33DB6"/>
    <w:rsid w:val="00A64EA7"/>
    <w:rsid w:val="00A806E8"/>
    <w:rsid w:val="00AC02D7"/>
    <w:rsid w:val="00AD4DA9"/>
    <w:rsid w:val="00AE669B"/>
    <w:rsid w:val="00AF0F93"/>
    <w:rsid w:val="00B15FA7"/>
    <w:rsid w:val="00B219A9"/>
    <w:rsid w:val="00B35115"/>
    <w:rsid w:val="00B45527"/>
    <w:rsid w:val="00B53978"/>
    <w:rsid w:val="00B542FF"/>
    <w:rsid w:val="00B65992"/>
    <w:rsid w:val="00B67C42"/>
    <w:rsid w:val="00BA537F"/>
    <w:rsid w:val="00BC11A5"/>
    <w:rsid w:val="00BD7A6C"/>
    <w:rsid w:val="00C00C01"/>
    <w:rsid w:val="00C22A00"/>
    <w:rsid w:val="00C272CD"/>
    <w:rsid w:val="00C54A0B"/>
    <w:rsid w:val="00C62B75"/>
    <w:rsid w:val="00C72072"/>
    <w:rsid w:val="00C77226"/>
    <w:rsid w:val="00C86D85"/>
    <w:rsid w:val="00C95AB6"/>
    <w:rsid w:val="00C96BF7"/>
    <w:rsid w:val="00CB1AD9"/>
    <w:rsid w:val="00D01699"/>
    <w:rsid w:val="00D139AF"/>
    <w:rsid w:val="00D31F31"/>
    <w:rsid w:val="00D404B7"/>
    <w:rsid w:val="00D439C9"/>
    <w:rsid w:val="00D57216"/>
    <w:rsid w:val="00D61223"/>
    <w:rsid w:val="00D7570F"/>
    <w:rsid w:val="00D8769A"/>
    <w:rsid w:val="00D87BC5"/>
    <w:rsid w:val="00D90FB0"/>
    <w:rsid w:val="00DA4C92"/>
    <w:rsid w:val="00DA6576"/>
    <w:rsid w:val="00DC3B06"/>
    <w:rsid w:val="00DC7433"/>
    <w:rsid w:val="00DD170B"/>
    <w:rsid w:val="00E15521"/>
    <w:rsid w:val="00E17B27"/>
    <w:rsid w:val="00E44379"/>
    <w:rsid w:val="00E827F9"/>
    <w:rsid w:val="00EC1E52"/>
    <w:rsid w:val="00ED1CC4"/>
    <w:rsid w:val="00ED6A7A"/>
    <w:rsid w:val="00EF7FFD"/>
    <w:rsid w:val="00F05B4F"/>
    <w:rsid w:val="00F24C1A"/>
    <w:rsid w:val="00F35314"/>
    <w:rsid w:val="00F473D6"/>
    <w:rsid w:val="00F578D4"/>
    <w:rsid w:val="00F82681"/>
    <w:rsid w:val="00F849AF"/>
    <w:rsid w:val="00F94C9A"/>
    <w:rsid w:val="00F968C4"/>
    <w:rsid w:val="00FB2CA0"/>
    <w:rsid w:val="00FC624C"/>
    <w:rsid w:val="00FD3278"/>
    <w:rsid w:val="00FF3DF4"/>
    <w:rsid w:val="00FF4F4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E3B0"/>
  <w15:docId w15:val="{C2EC79F8-3103-48BE-86D0-66A78826D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9BA"/>
    <w:rPr>
      <w:lang w:val="ro-RO"/>
    </w:rPr>
  </w:style>
  <w:style w:type="paragraph" w:styleId="Heading1">
    <w:name w:val="heading 1"/>
    <w:basedOn w:val="Normal"/>
    <w:next w:val="Normal"/>
    <w:link w:val="Heading1Char"/>
    <w:uiPriority w:val="9"/>
    <w:qFormat/>
    <w:rsid w:val="00201E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01E1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B7759"/>
    <w:pPr>
      <w:keepNext/>
      <w:keepLines/>
      <w:spacing w:before="40"/>
      <w:outlineLvl w:val="2"/>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uiPriority w:val="9"/>
    <w:semiHidden/>
    <w:unhideWhenUsed/>
    <w:qFormat/>
    <w:rsid w:val="00D3502E"/>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676A7A"/>
    <w:rPr>
      <w:lang w:val="ro-RO"/>
    </w:rPr>
  </w:style>
  <w:style w:type="character" w:customStyle="1" w:styleId="FooterChar">
    <w:name w:val="Footer Char"/>
    <w:basedOn w:val="DefaultParagraphFont"/>
    <w:link w:val="Footer"/>
    <w:uiPriority w:val="99"/>
    <w:qFormat/>
    <w:rsid w:val="00676A7A"/>
    <w:rPr>
      <w:lang w:val="ro-RO"/>
    </w:rPr>
  </w:style>
  <w:style w:type="character" w:customStyle="1" w:styleId="BalloonTextChar">
    <w:name w:val="Balloon Text Char"/>
    <w:basedOn w:val="DefaultParagraphFont"/>
    <w:link w:val="BalloonText"/>
    <w:uiPriority w:val="99"/>
    <w:semiHidden/>
    <w:qFormat/>
    <w:rsid w:val="00C44682"/>
    <w:rPr>
      <w:rFonts w:ascii="Segoe UI" w:hAnsi="Segoe UI" w:cs="Segoe UI"/>
      <w:sz w:val="18"/>
      <w:szCs w:val="18"/>
      <w:lang w:val="ro-RO"/>
    </w:rPr>
  </w:style>
  <w:style w:type="character" w:customStyle="1" w:styleId="FootnoteTextChar">
    <w:name w:val="Footnote Text Char"/>
    <w:basedOn w:val="DefaultParagraphFont"/>
    <w:link w:val="FootnoteText"/>
    <w:uiPriority w:val="99"/>
    <w:semiHidden/>
    <w:qFormat/>
    <w:rsid w:val="00F72F44"/>
    <w:rPr>
      <w:sz w:val="20"/>
      <w:szCs w:val="20"/>
      <w:lang w:val="ro-RO"/>
    </w:rPr>
  </w:style>
  <w:style w:type="character" w:customStyle="1" w:styleId="FootnoteCharacters">
    <w:name w:val="Footnote Characters"/>
    <w:basedOn w:val="DefaultParagraphFont"/>
    <w:uiPriority w:val="99"/>
    <w:semiHidden/>
    <w:unhideWhenUsed/>
    <w:qFormat/>
    <w:rsid w:val="001C6E7F"/>
    <w:rPr>
      <w:vertAlign w:val="superscript"/>
    </w:rPr>
  </w:style>
  <w:style w:type="character" w:customStyle="1" w:styleId="FootnoteAnchor">
    <w:name w:val="Footnote Anchor"/>
    <w:rPr>
      <w:vertAlign w:val="superscript"/>
    </w:rPr>
  </w:style>
  <w:style w:type="character" w:styleId="Hyperlink">
    <w:name w:val="Hyperlink"/>
    <w:basedOn w:val="DefaultParagraphFont"/>
    <w:uiPriority w:val="99"/>
    <w:unhideWhenUsed/>
    <w:rsid w:val="007173F0"/>
    <w:rPr>
      <w:color w:val="0563C1" w:themeColor="hyperlink"/>
      <w:u w:val="single"/>
    </w:rPr>
  </w:style>
  <w:style w:type="character" w:styleId="CommentReference">
    <w:name w:val="annotation reference"/>
    <w:basedOn w:val="DefaultParagraphFont"/>
    <w:uiPriority w:val="99"/>
    <w:semiHidden/>
    <w:unhideWhenUsed/>
    <w:qFormat/>
    <w:rsid w:val="004A1AEF"/>
    <w:rPr>
      <w:sz w:val="16"/>
      <w:szCs w:val="16"/>
    </w:rPr>
  </w:style>
  <w:style w:type="character" w:customStyle="1" w:styleId="CommentTextChar">
    <w:name w:val="Comment Text Char"/>
    <w:basedOn w:val="DefaultParagraphFont"/>
    <w:link w:val="CommentText"/>
    <w:uiPriority w:val="99"/>
    <w:qFormat/>
    <w:rsid w:val="004A1AEF"/>
    <w:rPr>
      <w:sz w:val="20"/>
      <w:szCs w:val="20"/>
      <w:lang w:val="ro-RO"/>
    </w:rPr>
  </w:style>
  <w:style w:type="character" w:customStyle="1" w:styleId="CommentSubjectChar">
    <w:name w:val="Comment Subject Char"/>
    <w:basedOn w:val="CommentTextChar"/>
    <w:link w:val="CommentSubject"/>
    <w:uiPriority w:val="99"/>
    <w:semiHidden/>
    <w:qFormat/>
    <w:rsid w:val="004A1AEF"/>
    <w:rPr>
      <w:b/>
      <w:bCs/>
      <w:sz w:val="20"/>
      <w:szCs w:val="20"/>
      <w:lang w:val="ro-RO"/>
    </w:rPr>
  </w:style>
  <w:style w:type="character" w:customStyle="1" w:styleId="Heading1Char">
    <w:name w:val="Heading 1 Char"/>
    <w:basedOn w:val="DefaultParagraphFont"/>
    <w:link w:val="Heading1"/>
    <w:uiPriority w:val="9"/>
    <w:qFormat/>
    <w:rsid w:val="00201E18"/>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qFormat/>
    <w:rsid w:val="00201E18"/>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qFormat/>
    <w:rsid w:val="002B7759"/>
    <w:rPr>
      <w:rFonts w:asciiTheme="majorHAnsi" w:eastAsiaTheme="majorEastAsia" w:hAnsiTheme="majorHAnsi" w:cstheme="majorBidi"/>
      <w:color w:val="1F4D78" w:themeColor="accent1" w:themeShade="7F"/>
      <w:lang w:val="ro-RO"/>
    </w:rPr>
  </w:style>
  <w:style w:type="character" w:customStyle="1" w:styleId="ListParagraphChar">
    <w:name w:val="List Paragraph Char"/>
    <w:link w:val="ListParagraph"/>
    <w:uiPriority w:val="34"/>
    <w:qFormat/>
    <w:rsid w:val="00C860D9"/>
    <w:rPr>
      <w:lang w:val="ro-RO"/>
    </w:rPr>
  </w:style>
  <w:style w:type="character" w:customStyle="1" w:styleId="Heading8Char">
    <w:name w:val="Heading 8 Char"/>
    <w:basedOn w:val="DefaultParagraphFont"/>
    <w:link w:val="Heading8"/>
    <w:uiPriority w:val="9"/>
    <w:semiHidden/>
    <w:qFormat/>
    <w:rsid w:val="00D3502E"/>
    <w:rPr>
      <w:rFonts w:asciiTheme="majorHAnsi" w:eastAsiaTheme="majorEastAsia" w:hAnsiTheme="majorHAnsi" w:cstheme="majorBidi"/>
      <w:color w:val="272727" w:themeColor="text1" w:themeTint="D8"/>
      <w:sz w:val="21"/>
      <w:szCs w:val="21"/>
      <w:lang w:val="ro-RO"/>
    </w:rPr>
  </w:style>
  <w:style w:type="character" w:styleId="UnresolvedMention">
    <w:name w:val="Unresolved Mention"/>
    <w:basedOn w:val="DefaultParagraphFont"/>
    <w:uiPriority w:val="99"/>
    <w:semiHidden/>
    <w:unhideWhenUsed/>
    <w:qFormat/>
    <w:rsid w:val="004149BB"/>
    <w:rPr>
      <w:color w:val="605E5C"/>
      <w:shd w:val="clear" w:color="auto" w:fill="E1DFDD"/>
    </w:rPr>
  </w:style>
  <w:style w:type="character" w:customStyle="1" w:styleId="IndexLink">
    <w:name w:val="Index Link"/>
    <w:qFormat/>
  </w:style>
  <w:style w:type="character" w:customStyle="1" w:styleId="LineNumbering">
    <w:name w:val="Line Numbering"/>
  </w:style>
  <w:style w:type="character" w:styleId="Strong">
    <w:name w:val="Strong"/>
    <w:basedOn w:val="DefaultParagraphFont"/>
    <w:qFormat/>
    <w:rPr>
      <w:b/>
      <w:bC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676A7A"/>
    <w:pPr>
      <w:tabs>
        <w:tab w:val="center" w:pos="4536"/>
        <w:tab w:val="right" w:pos="9072"/>
      </w:tabs>
    </w:pPr>
  </w:style>
  <w:style w:type="paragraph" w:styleId="Footer">
    <w:name w:val="footer"/>
    <w:basedOn w:val="Normal"/>
    <w:link w:val="FooterChar"/>
    <w:uiPriority w:val="99"/>
    <w:unhideWhenUsed/>
    <w:rsid w:val="00676A7A"/>
    <w:pPr>
      <w:tabs>
        <w:tab w:val="center" w:pos="4536"/>
        <w:tab w:val="right" w:pos="9072"/>
      </w:tabs>
    </w:pPr>
  </w:style>
  <w:style w:type="paragraph" w:styleId="ListParagraph">
    <w:name w:val="List Paragraph"/>
    <w:basedOn w:val="Normal"/>
    <w:link w:val="ListParagraphChar"/>
    <w:uiPriority w:val="34"/>
    <w:qFormat/>
    <w:rsid w:val="00890405"/>
    <w:pPr>
      <w:ind w:left="720"/>
      <w:contextualSpacing/>
    </w:pPr>
  </w:style>
  <w:style w:type="paragraph" w:styleId="BalloonText">
    <w:name w:val="Balloon Text"/>
    <w:basedOn w:val="Normal"/>
    <w:link w:val="BalloonTextChar"/>
    <w:uiPriority w:val="99"/>
    <w:semiHidden/>
    <w:unhideWhenUsed/>
    <w:qFormat/>
    <w:rsid w:val="00C44682"/>
    <w:rPr>
      <w:rFonts w:ascii="Segoe UI" w:hAnsi="Segoe UI" w:cs="Segoe UI"/>
      <w:sz w:val="18"/>
      <w:szCs w:val="18"/>
    </w:rPr>
  </w:style>
  <w:style w:type="paragraph" w:styleId="FootnoteText">
    <w:name w:val="footnote text"/>
    <w:basedOn w:val="Normal"/>
    <w:link w:val="FootnoteTextChar"/>
    <w:uiPriority w:val="99"/>
    <w:semiHidden/>
    <w:unhideWhenUsed/>
    <w:rsid w:val="00F72F44"/>
    <w:rPr>
      <w:sz w:val="20"/>
      <w:szCs w:val="20"/>
    </w:rPr>
  </w:style>
  <w:style w:type="paragraph" w:styleId="CommentText">
    <w:name w:val="annotation text"/>
    <w:basedOn w:val="Normal"/>
    <w:link w:val="CommentTextChar"/>
    <w:uiPriority w:val="99"/>
    <w:unhideWhenUsed/>
    <w:qFormat/>
    <w:rsid w:val="004A1AEF"/>
    <w:rPr>
      <w:sz w:val="20"/>
      <w:szCs w:val="20"/>
    </w:rPr>
  </w:style>
  <w:style w:type="paragraph" w:styleId="CommentSubject">
    <w:name w:val="annotation subject"/>
    <w:basedOn w:val="CommentText"/>
    <w:next w:val="CommentText"/>
    <w:link w:val="CommentSubjectChar"/>
    <w:uiPriority w:val="99"/>
    <w:semiHidden/>
    <w:unhideWhenUsed/>
    <w:qFormat/>
    <w:rsid w:val="004A1AEF"/>
    <w:rPr>
      <w:b/>
      <w:bCs/>
    </w:rPr>
  </w:style>
  <w:style w:type="paragraph" w:styleId="IndexHeading">
    <w:name w:val="index heading"/>
    <w:basedOn w:val="Heading"/>
  </w:style>
  <w:style w:type="paragraph" w:styleId="TOCHeading">
    <w:name w:val="TOC Heading"/>
    <w:basedOn w:val="Heading1"/>
    <w:next w:val="Normal"/>
    <w:uiPriority w:val="39"/>
    <w:unhideWhenUsed/>
    <w:qFormat/>
    <w:rsid w:val="00E379FB"/>
    <w:pPr>
      <w:spacing w:line="259" w:lineRule="auto"/>
      <w:outlineLvl w:val="9"/>
    </w:pPr>
    <w:rPr>
      <w:lang w:val="en-US"/>
    </w:rPr>
  </w:style>
  <w:style w:type="paragraph" w:styleId="TOC1">
    <w:name w:val="toc 1"/>
    <w:basedOn w:val="Normal"/>
    <w:next w:val="Normal"/>
    <w:autoRedefine/>
    <w:uiPriority w:val="39"/>
    <w:unhideWhenUsed/>
    <w:rsid w:val="00BD7A6C"/>
    <w:pPr>
      <w:tabs>
        <w:tab w:val="right" w:leader="dot" w:pos="10536"/>
      </w:tabs>
      <w:spacing w:after="100"/>
      <w:ind w:left="90"/>
    </w:pPr>
  </w:style>
  <w:style w:type="paragraph" w:styleId="TOC2">
    <w:name w:val="toc 2"/>
    <w:basedOn w:val="Normal"/>
    <w:next w:val="Normal"/>
    <w:autoRedefine/>
    <w:uiPriority w:val="39"/>
    <w:unhideWhenUsed/>
    <w:rsid w:val="00BD7A6C"/>
    <w:pPr>
      <w:tabs>
        <w:tab w:val="right" w:leader="dot" w:pos="10526"/>
      </w:tabs>
      <w:spacing w:after="100"/>
      <w:ind w:left="240"/>
    </w:pPr>
  </w:style>
  <w:style w:type="paragraph" w:styleId="TOC3">
    <w:name w:val="toc 3"/>
    <w:basedOn w:val="Normal"/>
    <w:next w:val="Normal"/>
    <w:autoRedefine/>
    <w:uiPriority w:val="39"/>
    <w:unhideWhenUsed/>
    <w:rsid w:val="00E379FB"/>
    <w:pPr>
      <w:spacing w:after="100"/>
      <w:ind w:left="480"/>
    </w:pPr>
  </w:style>
  <w:style w:type="paragraph" w:styleId="Revision">
    <w:name w:val="Revision"/>
    <w:uiPriority w:val="99"/>
    <w:semiHidden/>
    <w:qFormat/>
    <w:rsid w:val="00FA2277"/>
    <w:rPr>
      <w:lang w:val="ro-RO"/>
    </w:rPr>
  </w:style>
  <w:style w:type="paragraph" w:styleId="NormalWeb">
    <w:name w:val="Normal (Web)"/>
    <w:basedOn w:val="Normal"/>
    <w:uiPriority w:val="99"/>
    <w:semiHidden/>
    <w:unhideWhenUsed/>
    <w:qFormat/>
    <w:rsid w:val="002E4A3E"/>
    <w:pPr>
      <w:spacing w:beforeAutospacing="1" w:afterAutospacing="1"/>
    </w:pPr>
    <w:rPr>
      <w:rFonts w:ascii="Times New Roman" w:eastAsiaTheme="minorEastAsia" w:hAnsi="Times New Roman" w:cs="Times New Roman"/>
      <w:lang w:val="en-U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9D4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1A7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0D1C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hyperlink" Target="https://proiecte.pnrr.gov.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pnrr-a-fost-actualizat-indrumarul-metodologic-pentru-beneficiarii-privati-aplicabil-in-derularea-procedurilor-de-achiziti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07/07054c8608efd34d8e14c5709a1a4b47.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e.gov.ro/manual-de-utilizare-platforma-proiecte-pnrr-gov-ro-actualizat-la-data-de-13-februarie-2023/" TargetMode="External"/><Relationship Id="rId4" Type="http://schemas.openxmlformats.org/officeDocument/2006/relationships/settings" Target="settings.xml"/><Relationship Id="rId9" Type="http://schemas.openxmlformats.org/officeDocument/2006/relationships/hyperlink" Target="mailto:office.minister@economie.gov.ro"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sfromania.ro/app.php/ro/a/1542/asigur%C4%83tori-%C8%99i-intermediari-principa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A49CE-4E82-4407-BDC9-722E17430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9016</Words>
  <Characters>51397</Characters>
  <Application>Microsoft Office Word</Application>
  <DocSecurity>0</DocSecurity>
  <Lines>428</Lines>
  <Paragraphs>120</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Scopul ghidului</vt:lpstr>
      <vt:lpstr>Buget; beneficiari; indicatori</vt:lpstr>
      <vt:lpstr>3. Contractarea proiectului</vt:lpstr>
      <vt:lpstr>    3.1 Procesul de contractare</vt:lpstr>
      <vt:lpstr>    3.1.1 Cadrul legal al contractării proiectelor participanților direcți la PIIEC</vt:lpstr>
      <vt:lpstr>    3.1.2 Depunerea și verificarea cererilor de finanțare și a anexelor</vt:lpstr>
      <vt:lpstr>    3.1.3 Eligibilitatea cheltuielilor</vt:lpstr>
      <vt:lpstr>    3.1.4 Principiul ”a nu prejudicia în mod semnificativ” - DNSH</vt:lpstr>
      <vt:lpstr>    3.1.5 Evitarea conflictului de interese și a dublei finanțări</vt:lpstr>
      <vt:lpstr>    3.1.6 Asigurarea vizibilității fondurilor din partea Uniunii Europene</vt:lpstr>
      <vt:lpstr>        3.2 Aprobarea proiectelor</vt:lpstr>
      <vt:lpstr>        3.3 Depunerea contestațiilor</vt:lpstr>
      <vt:lpstr>        3.4  Depunerea documentelor pentru contractare</vt:lpstr>
      <vt:lpstr>        3.5 Semnarea contractului de finanțare</vt:lpstr>
      <vt:lpstr>        3.6 Implementarea contractelor de finanțare; Sustenabilitatea proiectului</vt:lpstr>
      <vt:lpstr>        3.6.1 Monitorizarea tehnică </vt:lpstr>
      <vt:lpstr>        3.6.2 Monitorizarea financiară</vt:lpstr>
      <vt:lpstr>        3.6.3 Transferul sumelor</vt:lpstr>
      <vt:lpstr>    4.  Mecanisme de gestionare a riscurilor de implementare</vt:lpstr>
      <vt:lpstr>5. Contribuția investiției la obiectivele asumate pentru realizarea indicatorilo</vt:lpstr>
      <vt:lpstr>6. Lista anexe</vt:lpstr>
    </vt:vector>
  </TitlesOfParts>
  <Company/>
  <LinksUpToDate>false</LinksUpToDate>
  <CharactersWithSpaces>60293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Anca Ciocoiu</cp:lastModifiedBy>
  <cp:revision>9</cp:revision>
  <cp:lastPrinted>2023-10-30T13:13:00Z</cp:lastPrinted>
  <dcterms:created xsi:type="dcterms:W3CDTF">2023-11-17T07:36:00Z</dcterms:created>
  <dcterms:modified xsi:type="dcterms:W3CDTF">2023-11-17T08:33:00Z</dcterms:modified>
  <dc:language>en-US</dc:language>
</cp:coreProperties>
</file>